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27" w:rsidRDefault="00AF1E7D" w:rsidP="00147FC1">
      <w:pPr>
        <w:spacing w:before="120" w:after="0" w:line="320" w:lineRule="atLeast"/>
        <w:jc w:val="center"/>
        <w:rPr>
          <w:rFonts w:ascii="Palatino Linotype" w:hAnsi="Palatino Linotype"/>
          <w:b/>
        </w:rPr>
      </w:pPr>
      <w:r w:rsidRPr="00E71B01">
        <w:rPr>
          <w:rFonts w:ascii="Palatino Linotype" w:hAnsi="Palatino Linotype"/>
          <w:b/>
        </w:rPr>
        <w:t xml:space="preserve">TIẾP CẬN DỊCH VỤ XÃ HỘI CƠ BẢN CỦA CƯ DÂN VẠN ĐÒ </w:t>
      </w:r>
    </w:p>
    <w:p w:rsidR="002F3627" w:rsidRDefault="00AF1E7D" w:rsidP="00147FC1">
      <w:pPr>
        <w:spacing w:before="120" w:after="0" w:line="320" w:lineRule="atLeast"/>
        <w:jc w:val="center"/>
        <w:rPr>
          <w:rFonts w:ascii="Palatino Linotype" w:hAnsi="Palatino Linotype"/>
          <w:b/>
        </w:rPr>
      </w:pPr>
      <w:r w:rsidRPr="00E71B01">
        <w:rPr>
          <w:rFonts w:ascii="Palatino Linotype" w:hAnsi="Palatino Linotype"/>
          <w:b/>
        </w:rPr>
        <w:t xml:space="preserve">TẠI KHU TÁI ĐỊNH CƯ PHƯỜNG HƯƠNG SƠ, THÀNH PHỐ HUẾ, </w:t>
      </w:r>
    </w:p>
    <w:p w:rsidR="000D268E" w:rsidRPr="00E71B01" w:rsidRDefault="00AF1E7D" w:rsidP="00147FC1">
      <w:pPr>
        <w:spacing w:before="120" w:after="0" w:line="320" w:lineRule="atLeast"/>
        <w:jc w:val="center"/>
        <w:rPr>
          <w:rFonts w:ascii="Palatino Linotype" w:hAnsi="Palatino Linotype"/>
          <w:b/>
        </w:rPr>
      </w:pPr>
      <w:r w:rsidRPr="00E71B01">
        <w:rPr>
          <w:rFonts w:ascii="Palatino Linotype" w:hAnsi="Palatino Linotype"/>
          <w:b/>
        </w:rPr>
        <w:t>TỈNH THỪA THIÊN HUẾ</w:t>
      </w:r>
    </w:p>
    <w:p w:rsidR="00096D52" w:rsidRPr="00096D52" w:rsidRDefault="000D268E" w:rsidP="00147FC1">
      <w:pPr>
        <w:spacing w:before="120" w:after="0" w:line="320" w:lineRule="atLeast"/>
        <w:jc w:val="right"/>
        <w:rPr>
          <w:rFonts w:ascii="Palatino Linotype" w:hAnsi="Palatino Linotype"/>
          <w:b/>
          <w:sz w:val="20"/>
          <w:szCs w:val="20"/>
        </w:rPr>
      </w:pPr>
      <w:r w:rsidRPr="00096D52">
        <w:rPr>
          <w:rFonts w:ascii="Palatino Linotype" w:hAnsi="Palatino Linotype"/>
          <w:b/>
          <w:sz w:val="20"/>
          <w:szCs w:val="20"/>
        </w:rPr>
        <w:t>Trương Thị Yến</w:t>
      </w:r>
    </w:p>
    <w:p w:rsidR="00096D52" w:rsidRPr="00096D52" w:rsidRDefault="00096D52" w:rsidP="00147FC1">
      <w:pPr>
        <w:spacing w:before="120" w:after="0" w:line="320" w:lineRule="atLeast"/>
        <w:jc w:val="right"/>
        <w:rPr>
          <w:rFonts w:ascii="Palatino Linotype" w:hAnsi="Palatino Linotype"/>
          <w:sz w:val="20"/>
          <w:szCs w:val="20"/>
        </w:rPr>
      </w:pPr>
      <w:r w:rsidRPr="00096D52">
        <w:rPr>
          <w:rFonts w:ascii="Palatino Linotype" w:hAnsi="Palatino Linotype"/>
          <w:sz w:val="20"/>
          <w:szCs w:val="20"/>
        </w:rPr>
        <w:t>Khoa Công tác xã hội, Trường Đại học Khoa học, Đại học Huế</w:t>
      </w:r>
    </w:p>
    <w:p w:rsidR="009E1EAC" w:rsidRPr="00096D52" w:rsidRDefault="00096D52" w:rsidP="00147FC1">
      <w:pPr>
        <w:spacing w:before="120" w:after="0" w:line="320" w:lineRule="atLeast"/>
        <w:jc w:val="right"/>
        <w:rPr>
          <w:rFonts w:ascii="Palatino Linotype" w:hAnsi="Palatino Linotype"/>
          <w:sz w:val="20"/>
          <w:szCs w:val="20"/>
        </w:rPr>
      </w:pPr>
      <w:r w:rsidRPr="00096D52">
        <w:rPr>
          <w:rFonts w:ascii="Palatino Linotype" w:hAnsi="Palatino Linotype"/>
          <w:sz w:val="20"/>
          <w:szCs w:val="20"/>
        </w:rPr>
        <w:t xml:space="preserve">Email: </w:t>
      </w:r>
      <w:hyperlink r:id="rId9" w:history="1">
        <w:r w:rsidR="009D3780" w:rsidRPr="004E5CCC">
          <w:rPr>
            <w:rStyle w:val="Hyperlink"/>
            <w:rFonts w:ascii="Palatino Linotype" w:hAnsi="Palatino Linotype"/>
            <w:sz w:val="20"/>
            <w:szCs w:val="20"/>
          </w:rPr>
          <w:t>yentruong7@gmail.com</w:t>
        </w:r>
      </w:hyperlink>
      <w:r w:rsidR="000D268E" w:rsidRPr="00096D52">
        <w:rPr>
          <w:rFonts w:ascii="Palatino Linotype" w:hAnsi="Palatino Linotype"/>
          <w:sz w:val="20"/>
          <w:szCs w:val="20"/>
        </w:rPr>
        <w:t xml:space="preserve"> </w:t>
      </w:r>
    </w:p>
    <w:p w:rsidR="00E14BA1" w:rsidRDefault="003848A2" w:rsidP="001B58A6">
      <w:pPr>
        <w:spacing w:after="0" w:line="240" w:lineRule="auto"/>
        <w:ind w:left="567" w:right="567"/>
        <w:jc w:val="both"/>
        <w:rPr>
          <w:rFonts w:ascii="Palatino Linotype" w:hAnsi="Palatino Linotype"/>
          <w:b/>
          <w:sz w:val="20"/>
          <w:szCs w:val="20"/>
        </w:rPr>
      </w:pPr>
      <w:r w:rsidRPr="00096D52">
        <w:rPr>
          <w:rFonts w:ascii="Palatino Linotype" w:hAnsi="Palatino Linotype"/>
          <w:b/>
          <w:sz w:val="20"/>
          <w:szCs w:val="20"/>
        </w:rPr>
        <w:t>TÓM TẮT</w:t>
      </w:r>
    </w:p>
    <w:p w:rsidR="00EA7BD6" w:rsidRDefault="00F07BF3" w:rsidP="001B58A6">
      <w:pPr>
        <w:spacing w:after="0" w:line="240" w:lineRule="auto"/>
        <w:ind w:left="567" w:right="567"/>
        <w:jc w:val="both"/>
        <w:rPr>
          <w:rFonts w:ascii="Palatino Linotype" w:hAnsi="Palatino Linotype"/>
          <w:sz w:val="20"/>
          <w:szCs w:val="20"/>
        </w:rPr>
      </w:pPr>
      <w:r w:rsidRPr="00096D52">
        <w:rPr>
          <w:rFonts w:ascii="Palatino Linotype" w:hAnsi="Palatino Linotype"/>
          <w:b/>
          <w:sz w:val="20"/>
          <w:szCs w:val="20"/>
        </w:rPr>
        <w:t xml:space="preserve"> </w:t>
      </w:r>
      <w:r w:rsidR="004C6CBB" w:rsidRPr="004C6CBB">
        <w:rPr>
          <w:rFonts w:ascii="Palatino Linotype" w:hAnsi="Palatino Linotype"/>
          <w:sz w:val="20"/>
          <w:szCs w:val="20"/>
        </w:rPr>
        <w:t>Sau bố trí tái định cư, thì công tác triển khai thực hiện các hoạt động hậ</w:t>
      </w:r>
      <w:r w:rsidR="00EA7BD6">
        <w:rPr>
          <w:rFonts w:ascii="Palatino Linotype" w:hAnsi="Palatino Linotype"/>
          <w:sz w:val="20"/>
          <w:szCs w:val="20"/>
        </w:rPr>
        <w:t xml:space="preserve">u tái </w:t>
      </w:r>
      <w:r w:rsidR="004C6CBB" w:rsidRPr="004C6CBB">
        <w:rPr>
          <w:rFonts w:ascii="Palatino Linotype" w:hAnsi="Palatino Linotype"/>
          <w:sz w:val="20"/>
          <w:szCs w:val="20"/>
        </w:rPr>
        <w:t>định cư cho cộng đồng cũng luôn được Đảng và Nhà nước Việt Nam quan tâm. Tuy nhiên, trong thực tế, việc tiếp cận các chính sách xã hội, nhất là các dịch vụ xã hộ</w:t>
      </w:r>
      <w:r w:rsidR="00D84D66">
        <w:rPr>
          <w:rFonts w:ascii="Palatino Linotype" w:hAnsi="Palatino Linotype"/>
          <w:sz w:val="20"/>
          <w:szCs w:val="20"/>
        </w:rPr>
        <w:t xml:space="preserve">i cơ </w:t>
      </w:r>
      <w:r w:rsidR="004C6CBB" w:rsidRPr="004C6CBB">
        <w:rPr>
          <w:rFonts w:ascii="Palatino Linotype" w:hAnsi="Palatino Linotype"/>
          <w:sz w:val="20"/>
          <w:szCs w:val="20"/>
        </w:rPr>
        <w:t>bản của nhóm cư dân tái định cư vẫn còn gặp khó khăn, tồn tại nhiều rào cản trong việc tham gia và thụ hưởng các chính sách.</w:t>
      </w:r>
    </w:p>
    <w:p w:rsidR="004C6CBB" w:rsidRDefault="004C6CBB" w:rsidP="001B58A6">
      <w:pPr>
        <w:spacing w:after="0" w:line="240" w:lineRule="auto"/>
        <w:ind w:left="567" w:right="567"/>
        <w:jc w:val="both"/>
        <w:rPr>
          <w:rFonts w:ascii="Palatino Linotype" w:hAnsi="Palatino Linotype"/>
          <w:sz w:val="20"/>
          <w:szCs w:val="20"/>
        </w:rPr>
      </w:pPr>
      <w:r w:rsidRPr="004C6CBB">
        <w:rPr>
          <w:rFonts w:ascii="Palatino Linotype" w:hAnsi="Palatino Linotype"/>
          <w:sz w:val="20"/>
          <w:szCs w:val="20"/>
        </w:rPr>
        <w:t>Bài viết dưới đây sẽ phân tích thực trạng tiếp cận an sinh xã hội của cộng đồng vạn đò tái định cư – một trong những nhóm dân cư dễ bị tổn thương tại thành phố Huế, về việc sử dụng một số dịch vụ xã hội cơ bản như nhà ở, giáo dục, y tế và nước sạch, vớ</w:t>
      </w:r>
      <w:r w:rsidR="00EA7BD6">
        <w:rPr>
          <w:rFonts w:ascii="Palatino Linotype" w:hAnsi="Palatino Linotype"/>
          <w:sz w:val="20"/>
          <w:szCs w:val="20"/>
        </w:rPr>
        <w:t xml:space="preserve">i </w:t>
      </w:r>
      <w:r w:rsidRPr="004C6CBB">
        <w:rPr>
          <w:rFonts w:ascii="Palatino Linotype" w:hAnsi="Palatino Linotype"/>
          <w:sz w:val="20"/>
          <w:szCs w:val="20"/>
        </w:rPr>
        <w:t>mong muốn chỉ ra những bất cập trong việc thực hiện và thụ hưở</w:t>
      </w:r>
      <w:r w:rsidR="00EA7BD6">
        <w:rPr>
          <w:rFonts w:ascii="Palatino Linotype" w:hAnsi="Palatino Linotype"/>
          <w:sz w:val="20"/>
          <w:szCs w:val="20"/>
        </w:rPr>
        <w:t xml:space="preserve">ng chính sách. Trên cơ </w:t>
      </w:r>
      <w:r w:rsidRPr="004C6CBB">
        <w:rPr>
          <w:rFonts w:ascii="Palatino Linotype" w:hAnsi="Palatino Linotype"/>
          <w:sz w:val="20"/>
          <w:szCs w:val="20"/>
        </w:rPr>
        <w:t>sở đó, chúng tôi sẽ đề xuất một số giải pháp phù hợp nhằm tăng tính hiệu quả tiếp cậ</w:t>
      </w:r>
      <w:r w:rsidR="00EA7BD6">
        <w:rPr>
          <w:rFonts w:ascii="Palatino Linotype" w:hAnsi="Palatino Linotype"/>
          <w:sz w:val="20"/>
          <w:szCs w:val="20"/>
        </w:rPr>
        <w:t xml:space="preserve">n </w:t>
      </w:r>
      <w:r w:rsidRPr="004C6CBB">
        <w:rPr>
          <w:rFonts w:ascii="Palatino Linotype" w:hAnsi="Palatino Linotype"/>
          <w:sz w:val="20"/>
          <w:szCs w:val="20"/>
        </w:rPr>
        <w:t>chính sách và đảm bảo cuộc sống an sinh cho người dân tại nơi ở mới.</w:t>
      </w:r>
    </w:p>
    <w:p w:rsidR="009077BC" w:rsidRPr="00291EA4" w:rsidRDefault="00A50E1C" w:rsidP="009077BC">
      <w:pPr>
        <w:spacing w:after="0" w:line="240" w:lineRule="auto"/>
        <w:ind w:left="567" w:right="567"/>
        <w:jc w:val="both"/>
        <w:rPr>
          <w:rFonts w:ascii="Palatino Linotype" w:hAnsi="Palatino Linotype"/>
          <w:sz w:val="20"/>
          <w:szCs w:val="20"/>
        </w:rPr>
      </w:pPr>
      <w:r w:rsidRPr="00096D52">
        <w:rPr>
          <w:rFonts w:ascii="Palatino Linotype" w:hAnsi="Palatino Linotype"/>
          <w:b/>
          <w:sz w:val="20"/>
          <w:szCs w:val="20"/>
        </w:rPr>
        <w:t xml:space="preserve">Từ khóa: </w:t>
      </w:r>
      <w:r w:rsidRPr="00096D52">
        <w:rPr>
          <w:rFonts w:ascii="Palatino Linotype" w:hAnsi="Palatino Linotype"/>
          <w:sz w:val="20"/>
          <w:szCs w:val="20"/>
        </w:rPr>
        <w:t>Cư dân vạn đò; Dịch vụ xã hội cơ bản, Tái định cư.</w:t>
      </w:r>
    </w:p>
    <w:p w:rsidR="00680588" w:rsidRPr="009077BC" w:rsidRDefault="003848A2" w:rsidP="00AC764C">
      <w:pPr>
        <w:spacing w:before="120" w:after="0" w:line="320" w:lineRule="atLeast"/>
        <w:ind w:left="567" w:right="567"/>
        <w:jc w:val="both"/>
        <w:rPr>
          <w:rFonts w:ascii="Palatino Linotype" w:hAnsi="Palatino Linotype"/>
          <w:sz w:val="20"/>
          <w:szCs w:val="20"/>
        </w:rPr>
      </w:pPr>
      <w:r w:rsidRPr="00E71B01">
        <w:rPr>
          <w:rFonts w:ascii="Palatino Linotype" w:hAnsi="Palatino Linotype"/>
          <w:b/>
        </w:rPr>
        <w:t>ĐẶT VẤN ĐỀ</w:t>
      </w:r>
    </w:p>
    <w:p w:rsidR="00680588" w:rsidRDefault="00680588" w:rsidP="00AC764C">
      <w:pPr>
        <w:spacing w:before="120" w:after="0" w:line="320" w:lineRule="atLeast"/>
        <w:jc w:val="both"/>
        <w:rPr>
          <w:rFonts w:ascii="Palatino Linotype" w:hAnsi="Palatino Linotype"/>
          <w:b/>
        </w:rPr>
      </w:pPr>
      <w:r>
        <w:rPr>
          <w:rFonts w:ascii="Palatino Linotype" w:hAnsi="Palatino Linotype"/>
          <w:b/>
        </w:rPr>
        <w:tab/>
      </w:r>
      <w:r w:rsidR="00A66F91" w:rsidRPr="00E71B01">
        <w:rPr>
          <w:rFonts w:ascii="Palatino Linotype" w:hAnsi="Palatino Linotype"/>
        </w:rPr>
        <w:t>Dịch vụ xã hội cơ bản được xác định là một trong bốn thành tố chính của hệ thống an sinh xã hội Việt Nam hiện nay, bên cạnh các trụ cột về Chính sách việc làm, đảm bảo thu nhập tối thiểu; Bảo hiểm xã hội và Trợ giúp xã hộ</w:t>
      </w:r>
      <w:r w:rsidR="00822D61">
        <w:rPr>
          <w:rFonts w:ascii="Palatino Linotype" w:hAnsi="Palatino Linotype"/>
        </w:rPr>
        <w:t>i</w:t>
      </w:r>
      <w:r w:rsidR="00A66F91" w:rsidRPr="00E71B01">
        <w:rPr>
          <w:rFonts w:ascii="Palatino Linotype" w:hAnsi="Palatino Linotype"/>
        </w:rPr>
        <w:t xml:space="preserve">. </w:t>
      </w:r>
      <w:r w:rsidR="00365F9F">
        <w:rPr>
          <w:rFonts w:ascii="Palatino Linotype" w:hAnsi="Palatino Linotype"/>
        </w:rPr>
        <w:t>“</w:t>
      </w:r>
      <w:r w:rsidR="00A66F91" w:rsidRPr="00E71B01">
        <w:rPr>
          <w:rFonts w:ascii="Palatino Linotype" w:hAnsi="Palatino Linotype"/>
        </w:rPr>
        <w:t xml:space="preserve">Tiếp cận dịch vụ xã hội cơ bản được coi là những hoạt động đầu tiên và ở tầng thấp nhất trong hệ thống </w:t>
      </w:r>
      <w:r w:rsidR="00822D61">
        <w:rPr>
          <w:rFonts w:ascii="Palatino Linotype" w:hAnsi="Palatino Linotype"/>
        </w:rPr>
        <w:t>a</w:t>
      </w:r>
      <w:r w:rsidR="00A66F91" w:rsidRPr="00E71B01">
        <w:rPr>
          <w:rFonts w:ascii="Palatino Linotype" w:hAnsi="Palatino Linotype"/>
        </w:rPr>
        <w:t>n sinh xã hội</w:t>
      </w:r>
      <w:r w:rsidR="00365F9F">
        <w:rPr>
          <w:rFonts w:ascii="Palatino Linotype" w:hAnsi="Palatino Linotype"/>
        </w:rPr>
        <w:t>”</w:t>
      </w:r>
      <w:r w:rsidR="00E619E1">
        <w:rPr>
          <w:rFonts w:ascii="Palatino Linotype" w:hAnsi="Palatino Linotype"/>
        </w:rPr>
        <w:t xml:space="preserve"> [4, tr.24]</w:t>
      </w:r>
      <w:r w:rsidR="00A66F91" w:rsidRPr="00E71B01">
        <w:rPr>
          <w:rFonts w:ascii="Palatino Linotype" w:hAnsi="Palatino Linotype"/>
        </w:rPr>
        <w:t>. Đối với người dân, việc đánh giá chất lượng xã hội chính là thông qua mức độ sử dụng các dịch vụ xã hộ</w:t>
      </w:r>
      <w:r w:rsidR="004F3D7D">
        <w:rPr>
          <w:rFonts w:ascii="Palatino Linotype" w:hAnsi="Palatino Linotype"/>
        </w:rPr>
        <w:t>i</w:t>
      </w:r>
      <w:r w:rsidR="00A66F91" w:rsidRPr="00E71B01">
        <w:rPr>
          <w:rFonts w:ascii="Palatino Linotype" w:hAnsi="Palatino Linotype"/>
        </w:rPr>
        <w:t>. Nghị quyết số 15-NQ/TW ngày 01/6/2012 của Ban Chấp hành Trung ương Đảng khóa XI đã đề ra mục tiêu “bảo đảm mức tối thiểu về một số dịch vụ xã hội cơ bản cho người dân, đặc biệt là người nghèo, người có hoàn cảnh khó khăn và đồng bào dân tộc thiểu số</w:t>
      </w:r>
      <w:r w:rsidR="00B222C8">
        <w:rPr>
          <w:rFonts w:ascii="Palatino Linotype" w:hAnsi="Palatino Linotype"/>
        </w:rPr>
        <w:t>”[1,</w:t>
      </w:r>
      <w:r w:rsidR="005E2AFB">
        <w:rPr>
          <w:rFonts w:ascii="Palatino Linotype" w:hAnsi="Palatino Linotype"/>
        </w:rPr>
        <w:t xml:space="preserve"> tr.</w:t>
      </w:r>
      <w:r w:rsidR="00B222C8">
        <w:rPr>
          <w:rFonts w:ascii="Palatino Linotype" w:hAnsi="Palatino Linotype"/>
        </w:rPr>
        <w:t>2].</w:t>
      </w:r>
    </w:p>
    <w:p w:rsidR="005B0264" w:rsidRPr="00B1525D" w:rsidRDefault="00680588" w:rsidP="00AC764C">
      <w:pPr>
        <w:spacing w:before="120" w:after="0" w:line="320" w:lineRule="atLeast"/>
        <w:jc w:val="both"/>
        <w:rPr>
          <w:rFonts w:ascii="Palatino Linotype" w:hAnsi="Palatino Linotype"/>
          <w:b/>
        </w:rPr>
      </w:pPr>
      <w:r>
        <w:rPr>
          <w:rFonts w:ascii="Palatino Linotype" w:hAnsi="Palatino Linotype"/>
          <w:b/>
        </w:rPr>
        <w:tab/>
      </w:r>
      <w:r w:rsidR="001D40BF" w:rsidRPr="00E71B01">
        <w:rPr>
          <w:rFonts w:ascii="Palatino Linotype" w:hAnsi="Palatino Linotype"/>
        </w:rPr>
        <w:t xml:space="preserve">Cư dân vạn đò tại thành phố Huế là một trong những nhóm dân cư yếu thế. Một số nghiên cứu liên quan đến nhóm đối tượng dân cư này của tác giả Nguyễn Xuân Hồng (2012) </w:t>
      </w:r>
      <w:r w:rsidR="001D40BF" w:rsidRPr="00E71B01">
        <w:rPr>
          <w:rFonts w:ascii="Palatino Linotype" w:hAnsi="Palatino Linotype"/>
          <w:i/>
        </w:rPr>
        <w:t>“Cư dân vạn đò của thành phố Huế ở các khu định cư, tái định cư”</w:t>
      </w:r>
      <w:r w:rsidR="001D40BF" w:rsidRPr="00E71B01">
        <w:rPr>
          <w:rFonts w:ascii="Palatino Linotype" w:hAnsi="Palatino Linotype"/>
        </w:rPr>
        <w:t xml:space="preserve"> và Trương Thị Yến (2017) </w:t>
      </w:r>
      <w:r w:rsidR="001D40BF" w:rsidRPr="00E71B01">
        <w:rPr>
          <w:rFonts w:ascii="Palatino Linotype" w:hAnsi="Palatino Linotype"/>
          <w:i/>
        </w:rPr>
        <w:t>“Đánh giá nhu cầu chăm sóc sức khỏe ban đầu của phụ nữ vạn đò tại khu tái định cư Hương Sơ, thành phố Huế”</w:t>
      </w:r>
      <w:r w:rsidR="001D40BF" w:rsidRPr="00E71B01">
        <w:rPr>
          <w:rFonts w:ascii="Palatino Linotype" w:hAnsi="Palatino Linotype"/>
        </w:rPr>
        <w:t xml:space="preserve"> đã cho thấy mức độ dễ bị tổn thương, chịu nhiều thiệt thòi trong việc tiếp cận các chính sách an sinh xã hộ</w:t>
      </w:r>
      <w:r w:rsidR="00F22F40">
        <w:rPr>
          <w:rFonts w:ascii="Palatino Linotype" w:hAnsi="Palatino Linotype"/>
        </w:rPr>
        <w:t>i.</w:t>
      </w:r>
      <w:r w:rsidR="00B1525D">
        <w:rPr>
          <w:rFonts w:ascii="Palatino Linotype" w:hAnsi="Palatino Linotype"/>
          <w:b/>
        </w:rPr>
        <w:t xml:space="preserve"> </w:t>
      </w:r>
      <w:r w:rsidR="005B0264" w:rsidRPr="00E71B01">
        <w:rPr>
          <w:rFonts w:ascii="Palatino Linotype" w:hAnsi="Palatino Linotype"/>
        </w:rPr>
        <w:t>Bài viết dưới đây sẽ mô tả thực trạng tiếp cận dịch vụ xã hội cơ bản của cư dân vạn đò tái định cư dựa trên khảo sát thực tế của nhóm nghiên cứu thuộc khoa Công tác xã hội, trường Đại học Khoa học Huế</w:t>
      </w:r>
      <w:r w:rsidR="00024174" w:rsidRPr="00E71B01">
        <w:rPr>
          <w:rFonts w:ascii="Palatino Linotype" w:hAnsi="Palatino Linotype"/>
        </w:rPr>
        <w:t xml:space="preserve">, với công cụ khảo sát là bảng hỏi cấu trúc trên dung lượng mẫu nghiên cứu </w:t>
      </w:r>
      <w:r w:rsidR="00024174" w:rsidRPr="00E71B01">
        <w:rPr>
          <w:rFonts w:ascii="Palatino Linotype" w:hAnsi="Palatino Linotype"/>
        </w:rPr>
        <w:lastRenderedPageBreak/>
        <w:t>183/543 hộ gia đình tại khu tái định cư Hương Sơ, thành phố Huế.</w:t>
      </w:r>
      <w:r w:rsidR="005B0264" w:rsidRPr="00E71B01">
        <w:rPr>
          <w:rFonts w:ascii="Palatino Linotype" w:hAnsi="Palatino Linotype"/>
        </w:rPr>
        <w:t xml:space="preserve"> Căn cứ vào kết quả khảo sát, chúng tôi phân tích chất lượng thực hiện an sinh xã hội thông qua việc tiếp cận dịch vụ xã hội cơ bản của nhóm này. </w:t>
      </w:r>
      <w:r w:rsidR="00822D61">
        <w:rPr>
          <w:rFonts w:ascii="Palatino Linotype" w:hAnsi="Palatino Linotype"/>
        </w:rPr>
        <w:t>Đồng thời,</w:t>
      </w:r>
      <w:r w:rsidR="005B0264" w:rsidRPr="00E71B01">
        <w:rPr>
          <w:rFonts w:ascii="Palatino Linotype" w:hAnsi="Palatino Linotype"/>
        </w:rPr>
        <w:t xml:space="preserve"> đề xuất một số giải pháp nhằm tăng tính hiệu quả tiếp cận an sinh xã hội của cư dân vạn đò nói riêng và nhóm di dân nói chung.</w:t>
      </w:r>
    </w:p>
    <w:p w:rsidR="00F22F40" w:rsidRDefault="00680EB9" w:rsidP="00AC764C">
      <w:pPr>
        <w:pStyle w:val="ListParagraph"/>
        <w:numPr>
          <w:ilvl w:val="0"/>
          <w:numId w:val="13"/>
        </w:numPr>
        <w:spacing w:before="120" w:after="0" w:line="320" w:lineRule="atLeast"/>
        <w:jc w:val="both"/>
        <w:rPr>
          <w:rFonts w:ascii="Palatino Linotype" w:hAnsi="Palatino Linotype"/>
          <w:b/>
        </w:rPr>
      </w:pPr>
      <w:r w:rsidRPr="00F22F40">
        <w:rPr>
          <w:rFonts w:ascii="Palatino Linotype" w:hAnsi="Palatino Linotype"/>
          <w:b/>
        </w:rPr>
        <w:t>Đặc điểm của cư dân vạn đò tại địa bàn nghiên cứu</w:t>
      </w:r>
    </w:p>
    <w:p w:rsidR="00F22F40" w:rsidRPr="00F22F40" w:rsidRDefault="00F22F40" w:rsidP="00AC764C">
      <w:pPr>
        <w:pStyle w:val="ListParagraph"/>
        <w:numPr>
          <w:ilvl w:val="1"/>
          <w:numId w:val="13"/>
        </w:numPr>
        <w:spacing w:before="120" w:after="0" w:line="320" w:lineRule="atLeast"/>
        <w:jc w:val="both"/>
        <w:rPr>
          <w:rFonts w:ascii="Palatino Linotype" w:hAnsi="Palatino Linotype"/>
          <w:b/>
        </w:rPr>
      </w:pPr>
      <w:r>
        <w:rPr>
          <w:rFonts w:ascii="Palatino Linotype" w:hAnsi="Palatino Linotype"/>
          <w:b/>
        </w:rPr>
        <w:t>Đặc điểm của cư dân vạn đò trước khi lên tái định cư</w:t>
      </w:r>
    </w:p>
    <w:p w:rsidR="00A055BB" w:rsidRPr="00E71B01" w:rsidRDefault="00A055BB" w:rsidP="00AC764C">
      <w:pPr>
        <w:spacing w:before="120" w:after="0" w:line="320" w:lineRule="atLeast"/>
        <w:ind w:firstLine="567"/>
        <w:jc w:val="both"/>
        <w:rPr>
          <w:rFonts w:ascii="Palatino Linotype" w:hAnsi="Palatino Linotype"/>
          <w:spacing w:val="-4"/>
        </w:rPr>
      </w:pPr>
      <w:r w:rsidRPr="00E71B01">
        <w:rPr>
          <w:rFonts w:ascii="Palatino Linotype" w:hAnsi="Palatino Linotype"/>
          <w:spacing w:val="-4"/>
        </w:rPr>
        <w:t xml:space="preserve">Trong quan niệm của người Huế trên đất liền, cư dân </w:t>
      </w:r>
      <w:r w:rsidR="00D84D66">
        <w:rPr>
          <w:rFonts w:ascii="Palatino Linotype" w:hAnsi="Palatino Linotype"/>
          <w:spacing w:val="-4"/>
        </w:rPr>
        <w:t>vạn đò</w:t>
      </w:r>
      <w:r w:rsidRPr="00E71B01">
        <w:rPr>
          <w:rFonts w:ascii="Palatino Linotype" w:hAnsi="Palatino Linotype"/>
          <w:spacing w:val="-4"/>
        </w:rPr>
        <w:t xml:space="preserve"> là tầng lớp dân cư nghèo khổ, ít học và phức tạp. Nhóm dân cư này vì sự phân biệt đó nên cũng thường sống khép kín và thiếu cởi mở trong tiếp xúc đối với dân trên bộ. Do cuộc sống lênh đênh này đây mai đó, ít có chữ nghĩa, nên cư dân thủy diện thường mang những nét đặc trưng riêng, phản ánh rất rõ cuộc sống gắn liền với sông nước. Trước khi diễn ra những đợt tái định cư, cộng đồng dân cư này mang các đặc điểm: </w:t>
      </w:r>
    </w:p>
    <w:p w:rsidR="00A055BB" w:rsidRPr="00E71B01" w:rsidRDefault="00A055BB" w:rsidP="00AC764C">
      <w:pPr>
        <w:spacing w:before="120" w:after="0" w:line="320" w:lineRule="atLeast"/>
        <w:ind w:firstLine="567"/>
        <w:jc w:val="both"/>
        <w:rPr>
          <w:rFonts w:ascii="Palatino Linotype" w:hAnsi="Palatino Linotype"/>
          <w:spacing w:val="-2"/>
        </w:rPr>
      </w:pPr>
      <w:r w:rsidRPr="00E71B01">
        <w:rPr>
          <w:rFonts w:ascii="Palatino Linotype" w:hAnsi="Palatino Linotype"/>
          <w:spacing w:val="-2"/>
        </w:rPr>
        <w:tab/>
      </w:r>
      <w:r w:rsidRPr="00E71B01">
        <w:rPr>
          <w:rFonts w:ascii="Palatino Linotype" w:hAnsi="Palatino Linotype"/>
          <w:b/>
          <w:bCs/>
          <w:i/>
          <w:iCs/>
          <w:spacing w:val="-2"/>
        </w:rPr>
        <w:t>Về không gian cư trú:</w:t>
      </w:r>
      <w:r w:rsidRPr="00E71B01">
        <w:rPr>
          <w:rFonts w:ascii="Palatino Linotype" w:hAnsi="Palatino Linotype"/>
          <w:spacing w:val="-2"/>
        </w:rPr>
        <w:t xml:space="preserve"> Có không gian cư trú biệt lập so với không gian trên bờ. Họ lấy thuyền làm nhà, làm phương tiện sinh hoạt, sản xuất. Mặt tích cực củ</w:t>
      </w:r>
      <w:r w:rsidR="00DC71F2">
        <w:rPr>
          <w:rFonts w:ascii="Palatino Linotype" w:hAnsi="Palatino Linotype"/>
          <w:spacing w:val="-2"/>
        </w:rPr>
        <w:t>a đặc điểm này</w:t>
      </w:r>
      <w:r w:rsidRPr="00E71B01">
        <w:rPr>
          <w:rFonts w:ascii="Palatino Linotype" w:hAnsi="Palatino Linotype"/>
          <w:spacing w:val="-2"/>
        </w:rPr>
        <w:t xml:space="preserve"> là sự linh hoạt và khả năng chịu đựng áp lực về môi trường sống và sản xuất, nhưng lại tạo ra sự bất ổn và thiếu bền vững trong phát triển.</w:t>
      </w:r>
    </w:p>
    <w:p w:rsidR="00A055BB" w:rsidRPr="00E71B01" w:rsidRDefault="00A055BB" w:rsidP="00AC764C">
      <w:pPr>
        <w:spacing w:before="120" w:after="0" w:line="320" w:lineRule="atLeast"/>
        <w:ind w:firstLine="567"/>
        <w:jc w:val="both"/>
        <w:rPr>
          <w:rFonts w:ascii="Palatino Linotype" w:hAnsi="Palatino Linotype"/>
          <w:spacing w:val="-4"/>
        </w:rPr>
      </w:pPr>
      <w:r w:rsidRPr="00E71B01">
        <w:rPr>
          <w:rFonts w:ascii="Palatino Linotype" w:hAnsi="Palatino Linotype"/>
          <w:spacing w:val="-4"/>
        </w:rPr>
        <w:tab/>
      </w:r>
      <w:r w:rsidRPr="00E71B01">
        <w:rPr>
          <w:rFonts w:ascii="Palatino Linotype" w:hAnsi="Palatino Linotype"/>
          <w:b/>
          <w:bCs/>
          <w:i/>
          <w:iCs/>
          <w:spacing w:val="-4"/>
        </w:rPr>
        <w:t>Về mặt dân cư:</w:t>
      </w:r>
      <w:r w:rsidRPr="00E71B01">
        <w:rPr>
          <w:rFonts w:ascii="Palatino Linotype" w:hAnsi="Palatino Linotype"/>
          <w:spacing w:val="-4"/>
        </w:rPr>
        <w:t xml:space="preserve"> Cơ cấu dân cư phức tạp và đa dạng, không thuần nhấ</w:t>
      </w:r>
      <w:r w:rsidR="006B5357">
        <w:rPr>
          <w:rFonts w:ascii="Palatino Linotype" w:hAnsi="Palatino Linotype"/>
          <w:spacing w:val="-4"/>
        </w:rPr>
        <w:t>t</w:t>
      </w:r>
      <w:r w:rsidRPr="00E71B01">
        <w:rPr>
          <w:rFonts w:ascii="Palatino Linotype" w:hAnsi="Palatino Linotype"/>
          <w:spacing w:val="-4"/>
        </w:rPr>
        <w:t>. Tỷ lệ sinh đẻ cao, phổ biến gia đình có quy mô lớ</w:t>
      </w:r>
      <w:r w:rsidR="00A8684F">
        <w:rPr>
          <w:rFonts w:ascii="Palatino Linotype" w:hAnsi="Palatino Linotype"/>
          <w:spacing w:val="-4"/>
        </w:rPr>
        <w:t>n, đông con,</w:t>
      </w:r>
      <w:r w:rsidRPr="00E71B01">
        <w:rPr>
          <w:rFonts w:ascii="Palatino Linotype" w:hAnsi="Palatino Linotype"/>
          <w:spacing w:val="-4"/>
        </w:rPr>
        <w:t xml:space="preserve"> trình độ dân trí thấp, tỷ lệ mù chữ, thất học cao; </w:t>
      </w:r>
      <w:r w:rsidR="00FF5B85">
        <w:rPr>
          <w:rFonts w:ascii="Palatino Linotype" w:hAnsi="Palatino Linotype"/>
          <w:spacing w:val="-4"/>
        </w:rPr>
        <w:t>…</w:t>
      </w:r>
    </w:p>
    <w:p w:rsidR="00A055BB" w:rsidRPr="00E71B01" w:rsidRDefault="00A055BB" w:rsidP="00AC764C">
      <w:pPr>
        <w:spacing w:before="120" w:after="0" w:line="320" w:lineRule="atLeast"/>
        <w:ind w:firstLine="567"/>
        <w:jc w:val="both"/>
        <w:rPr>
          <w:rFonts w:ascii="Palatino Linotype" w:hAnsi="Palatino Linotype"/>
          <w:spacing w:val="-2"/>
        </w:rPr>
      </w:pPr>
      <w:r w:rsidRPr="00E71B01">
        <w:rPr>
          <w:rFonts w:ascii="Palatino Linotype" w:hAnsi="Palatino Linotype"/>
          <w:spacing w:val="-2"/>
        </w:rPr>
        <w:tab/>
      </w:r>
      <w:r w:rsidRPr="00E71B01">
        <w:rPr>
          <w:rFonts w:ascii="Palatino Linotype" w:hAnsi="Palatino Linotype"/>
          <w:b/>
          <w:bCs/>
          <w:i/>
          <w:iCs/>
          <w:spacing w:val="-2"/>
        </w:rPr>
        <w:t>Về kinh tế:</w:t>
      </w:r>
      <w:r w:rsidRPr="00E71B01">
        <w:rPr>
          <w:rFonts w:ascii="Palatino Linotype" w:hAnsi="Palatino Linotype"/>
          <w:spacing w:val="-2"/>
        </w:rPr>
        <w:t xml:space="preserve"> Là cộng đồng nghèo cơ sở vật chấ</w:t>
      </w:r>
      <w:r w:rsidR="00960257">
        <w:rPr>
          <w:rFonts w:ascii="Palatino Linotype" w:hAnsi="Palatino Linotype"/>
          <w:spacing w:val="-2"/>
        </w:rPr>
        <w:t>t</w:t>
      </w:r>
      <w:r w:rsidRPr="00E71B01">
        <w:rPr>
          <w:rFonts w:ascii="Palatino Linotype" w:hAnsi="Palatino Linotype"/>
          <w:spacing w:val="-2"/>
        </w:rPr>
        <w:t>, đồ dùng sinh hoạt, phương tiện sống cũng như nhu cầu về thông tin và các mối quan hệ xã hội; Không có đất sản xuất, đất ở hay các loại khác; Cơ cấu nghề khá đơn giản nhưng lại rất đa dạng, nặng về lao động chân tay; Lao động theo mùa vụ, nguồn thu nhập không đủ tích lũy mà chỉ đủ chi tiêu hàng ngày.</w:t>
      </w:r>
    </w:p>
    <w:p w:rsidR="00A055BB" w:rsidRPr="00E71B01" w:rsidRDefault="00A055BB" w:rsidP="00AC764C">
      <w:pPr>
        <w:spacing w:before="120" w:after="0" w:line="320" w:lineRule="atLeast"/>
        <w:ind w:firstLine="567"/>
        <w:jc w:val="both"/>
        <w:rPr>
          <w:rFonts w:ascii="Palatino Linotype" w:hAnsi="Palatino Linotype"/>
          <w:spacing w:val="-2"/>
        </w:rPr>
      </w:pPr>
      <w:r w:rsidRPr="00E71B01">
        <w:rPr>
          <w:rFonts w:ascii="Palatino Linotype" w:hAnsi="Palatino Linotype"/>
          <w:spacing w:val="-2"/>
        </w:rPr>
        <w:tab/>
      </w:r>
      <w:r w:rsidRPr="00E71B01">
        <w:rPr>
          <w:rFonts w:ascii="Palatino Linotype" w:hAnsi="Palatino Linotype"/>
          <w:b/>
          <w:bCs/>
          <w:i/>
          <w:iCs/>
          <w:spacing w:val="-2"/>
        </w:rPr>
        <w:t>Về xã hội:</w:t>
      </w:r>
      <w:r w:rsidRPr="00E71B01">
        <w:rPr>
          <w:rFonts w:ascii="Palatino Linotype" w:hAnsi="Palatino Linotype"/>
          <w:spacing w:val="-2"/>
        </w:rPr>
        <w:t xml:space="preserve"> Là cộng đồng chịu sự phân biệt đối xử khắt khe của những người trên bộ</w:t>
      </w:r>
      <w:r w:rsidR="00040465">
        <w:rPr>
          <w:rFonts w:ascii="Palatino Linotype" w:hAnsi="Palatino Linotype"/>
          <w:spacing w:val="-2"/>
        </w:rPr>
        <w:t>; có</w:t>
      </w:r>
      <w:r w:rsidRPr="00E71B01">
        <w:rPr>
          <w:rFonts w:ascii="Palatino Linotype" w:hAnsi="Palatino Linotype"/>
          <w:spacing w:val="-2"/>
        </w:rPr>
        <w:t xml:space="preserve"> tâm lý tự ti, ngại tiếp xúc</w:t>
      </w:r>
      <w:r w:rsidR="00482DEE">
        <w:rPr>
          <w:rFonts w:ascii="Palatino Linotype" w:hAnsi="Palatino Linotype"/>
          <w:spacing w:val="-2"/>
        </w:rPr>
        <w:t xml:space="preserve">, </w:t>
      </w:r>
      <w:r w:rsidRPr="00E71B01">
        <w:rPr>
          <w:rFonts w:ascii="Palatino Linotype" w:hAnsi="Palatino Linotype"/>
          <w:spacing w:val="-2"/>
        </w:rPr>
        <w:t>mặc cảm về “kẻ nốc – dân chài”</w:t>
      </w:r>
      <w:r w:rsidR="00482DEE">
        <w:rPr>
          <w:rFonts w:ascii="Palatino Linotype" w:hAnsi="Palatino Linotype"/>
          <w:spacing w:val="-2"/>
        </w:rPr>
        <w:t>..</w:t>
      </w:r>
      <w:r w:rsidRPr="00E71B01">
        <w:rPr>
          <w:rFonts w:ascii="Palatino Linotype" w:hAnsi="Palatino Linotype"/>
          <w:spacing w:val="-2"/>
        </w:rPr>
        <w:t>. Các thiết chế văn hóa, các sinh hoạt văn hóa hầ</w:t>
      </w:r>
      <w:r w:rsidR="00F43F2E">
        <w:rPr>
          <w:rFonts w:ascii="Palatino Linotype" w:hAnsi="Palatino Linotype"/>
          <w:spacing w:val="-2"/>
        </w:rPr>
        <w:t>u như không có [3, tr.80].</w:t>
      </w:r>
      <w:r w:rsidRPr="00E71B01">
        <w:rPr>
          <w:rFonts w:ascii="Palatino Linotype" w:hAnsi="Palatino Linotype"/>
          <w:spacing w:val="-2"/>
        </w:rPr>
        <w:t xml:space="preserve"> </w:t>
      </w:r>
    </w:p>
    <w:p w:rsidR="00B1525D" w:rsidRDefault="00A055BB" w:rsidP="00AC764C">
      <w:pPr>
        <w:spacing w:before="120" w:after="0" w:line="320" w:lineRule="atLeast"/>
        <w:jc w:val="both"/>
        <w:rPr>
          <w:rFonts w:ascii="Palatino Linotype" w:hAnsi="Palatino Linotype"/>
          <w:spacing w:val="-6"/>
        </w:rPr>
      </w:pPr>
      <w:r w:rsidRPr="00E71B01">
        <w:rPr>
          <w:rFonts w:ascii="Palatino Linotype" w:hAnsi="Palatino Linotype"/>
          <w:spacing w:val="-2"/>
        </w:rPr>
        <w:tab/>
      </w:r>
      <w:bookmarkStart w:id="0" w:name="_Toc480292051"/>
      <w:bookmarkStart w:id="1" w:name="_Toc484496357"/>
      <w:bookmarkStart w:id="2" w:name="_Toc485106958"/>
      <w:r w:rsidR="007D2BDE">
        <w:rPr>
          <w:rFonts w:ascii="Palatino Linotype" w:hAnsi="Palatino Linotype"/>
          <w:b/>
          <w:i/>
        </w:rPr>
        <w:t>1.2</w:t>
      </w:r>
      <w:r w:rsidR="00F9656A" w:rsidRPr="00E71B01">
        <w:rPr>
          <w:rFonts w:ascii="Palatino Linotype" w:hAnsi="Palatino Linotype"/>
          <w:b/>
          <w:i/>
        </w:rPr>
        <w:t xml:space="preserve">. </w:t>
      </w:r>
      <w:r w:rsidRPr="00E71B01">
        <w:rPr>
          <w:rFonts w:ascii="Palatino Linotype" w:hAnsi="Palatino Linotype"/>
          <w:b/>
          <w:i/>
        </w:rPr>
        <w:t xml:space="preserve">Đặc điểm nhân khẩu, </w:t>
      </w:r>
      <w:bookmarkEnd w:id="0"/>
      <w:bookmarkEnd w:id="1"/>
      <w:bookmarkEnd w:id="2"/>
      <w:r w:rsidR="005F3296">
        <w:rPr>
          <w:rFonts w:ascii="Palatino Linotype" w:hAnsi="Palatino Linotype"/>
          <w:b/>
          <w:i/>
        </w:rPr>
        <w:t>lao động và việc làm</w:t>
      </w:r>
      <w:r w:rsidRPr="00E71B01">
        <w:rPr>
          <w:rFonts w:ascii="Palatino Linotype" w:hAnsi="Palatino Linotype"/>
          <w:b/>
          <w:i/>
        </w:rPr>
        <w:t xml:space="preserve"> </w:t>
      </w:r>
      <w:r w:rsidR="009B4676">
        <w:rPr>
          <w:rFonts w:ascii="Palatino Linotype" w:hAnsi="Palatino Linotype"/>
          <w:b/>
          <w:i/>
        </w:rPr>
        <w:t>của cư dân vạn đò tại khu tái định cư hiện nay</w:t>
      </w:r>
    </w:p>
    <w:p w:rsidR="002502E0" w:rsidRDefault="00B1525D" w:rsidP="002502E0">
      <w:pPr>
        <w:spacing w:before="120" w:after="0" w:line="320" w:lineRule="atLeast"/>
        <w:jc w:val="both"/>
        <w:rPr>
          <w:rFonts w:ascii="Palatino Linotype" w:hAnsi="Palatino Linotype"/>
          <w:spacing w:val="-6"/>
        </w:rPr>
      </w:pPr>
      <w:r>
        <w:rPr>
          <w:rFonts w:ascii="Palatino Linotype" w:hAnsi="Palatino Linotype"/>
          <w:spacing w:val="-6"/>
        </w:rPr>
        <w:tab/>
      </w:r>
      <w:r w:rsidR="00A055BB" w:rsidRPr="00803DBB">
        <w:rPr>
          <w:rFonts w:ascii="Palatino Linotype" w:hAnsi="Palatino Linotype"/>
          <w:b/>
          <w:i/>
        </w:rPr>
        <w:t>Về nhân khẩu</w:t>
      </w:r>
      <w:r w:rsidR="00A055BB" w:rsidRPr="00E71B01">
        <w:rPr>
          <w:rFonts w:ascii="Palatino Linotype" w:hAnsi="Palatino Linotype"/>
        </w:rPr>
        <w:t xml:space="preserve">: </w:t>
      </w:r>
      <w:r w:rsidR="00A055BB" w:rsidRPr="00E71B01">
        <w:rPr>
          <w:rFonts w:ascii="Palatino Linotype" w:hAnsi="Palatino Linotype"/>
          <w:spacing w:val="-6"/>
        </w:rPr>
        <w:t xml:space="preserve">Khu tái định cư Hương Sơ hiện có 543 hộ, trong đó số lao động </w:t>
      </w:r>
      <w:r w:rsidR="00C25DFF">
        <w:rPr>
          <w:rFonts w:ascii="Palatino Linotype" w:hAnsi="Palatino Linotype"/>
          <w:spacing w:val="-6"/>
        </w:rPr>
        <w:t>ước tính khoảng 1120</w:t>
      </w:r>
      <w:r w:rsidR="00A055BB" w:rsidRPr="00E71B01">
        <w:rPr>
          <w:rFonts w:ascii="Palatino Linotype" w:hAnsi="Palatino Linotype"/>
          <w:spacing w:val="-6"/>
        </w:rPr>
        <w:t xml:space="preserve"> người. Quy mô, số lượng nhân khẩu trong mỗi hộ gia đình khá đông, được thể hiện qua bảng dưới đây.</w:t>
      </w:r>
      <w:bookmarkStart w:id="3" w:name="_Toc480292269"/>
      <w:bookmarkStart w:id="4" w:name="_Toc485107108"/>
      <w:bookmarkStart w:id="5" w:name="_Toc485107158"/>
    </w:p>
    <w:p w:rsidR="00C273BF" w:rsidRDefault="00C273BF" w:rsidP="002502E0">
      <w:pPr>
        <w:spacing w:before="120" w:after="0" w:line="320" w:lineRule="atLeast"/>
        <w:jc w:val="both"/>
        <w:rPr>
          <w:rFonts w:ascii="Palatino Linotype" w:hAnsi="Palatino Linotype"/>
          <w:spacing w:val="-6"/>
        </w:rPr>
      </w:pPr>
    </w:p>
    <w:p w:rsidR="00C273BF" w:rsidRDefault="00C273BF" w:rsidP="002502E0">
      <w:pPr>
        <w:spacing w:before="120" w:after="0" w:line="320" w:lineRule="atLeast"/>
        <w:jc w:val="both"/>
        <w:rPr>
          <w:rFonts w:ascii="Palatino Linotype" w:hAnsi="Palatino Linotype"/>
          <w:spacing w:val="-6"/>
        </w:rPr>
      </w:pPr>
    </w:p>
    <w:p w:rsidR="00C273BF" w:rsidRDefault="00C273BF" w:rsidP="002502E0">
      <w:pPr>
        <w:spacing w:before="120" w:after="0" w:line="320" w:lineRule="atLeast"/>
        <w:jc w:val="both"/>
        <w:rPr>
          <w:rFonts w:ascii="Palatino Linotype" w:hAnsi="Palatino Linotype"/>
          <w:spacing w:val="-6"/>
        </w:rPr>
      </w:pPr>
    </w:p>
    <w:p w:rsidR="00690F03" w:rsidRPr="00507E98" w:rsidRDefault="00A055BB" w:rsidP="002502E0">
      <w:pPr>
        <w:spacing w:before="120" w:after="0" w:line="320" w:lineRule="atLeast"/>
        <w:jc w:val="center"/>
        <w:rPr>
          <w:rFonts w:ascii="Palatino Linotype" w:hAnsi="Palatino Linotype"/>
          <w:spacing w:val="-6"/>
        </w:rPr>
      </w:pPr>
      <w:r w:rsidRPr="00BC4D44">
        <w:rPr>
          <w:rFonts w:ascii="Palatino Linotype" w:hAnsi="Palatino Linotype"/>
          <w:b/>
          <w:sz w:val="20"/>
          <w:szCs w:val="20"/>
        </w:rPr>
        <w:lastRenderedPageBreak/>
        <w:t>Bả</w:t>
      </w:r>
      <w:r w:rsidR="00E71B01" w:rsidRPr="00BC4D44">
        <w:rPr>
          <w:rFonts w:ascii="Palatino Linotype" w:hAnsi="Palatino Linotype"/>
          <w:b/>
          <w:sz w:val="20"/>
          <w:szCs w:val="20"/>
        </w:rPr>
        <w:t>ng 1</w:t>
      </w:r>
      <w:r w:rsidR="00BC4D44">
        <w:rPr>
          <w:rFonts w:ascii="Palatino Linotype" w:hAnsi="Palatino Linotype"/>
          <w:i/>
          <w:sz w:val="20"/>
          <w:szCs w:val="20"/>
        </w:rPr>
        <w:t>.</w:t>
      </w:r>
      <w:r w:rsidRPr="00BC4D44">
        <w:rPr>
          <w:rFonts w:ascii="Palatino Linotype" w:hAnsi="Palatino Linotype"/>
          <w:i/>
          <w:sz w:val="20"/>
          <w:szCs w:val="20"/>
        </w:rPr>
        <w:t xml:space="preserve"> </w:t>
      </w:r>
      <w:r w:rsidRPr="00BC4D44">
        <w:rPr>
          <w:rFonts w:ascii="Palatino Linotype" w:hAnsi="Palatino Linotype"/>
          <w:sz w:val="20"/>
          <w:szCs w:val="20"/>
        </w:rPr>
        <w:t>Tình hình nhân khẩu trong hộ gia đình ở khu Hương Sơ</w:t>
      </w:r>
      <w:bookmarkEnd w:id="3"/>
      <w:bookmarkEnd w:id="4"/>
      <w:bookmarkEnd w:id="5"/>
    </w:p>
    <w:tbl>
      <w:tblPr>
        <w:tblW w:w="3321" w:type="pct"/>
        <w:jc w:val="center"/>
        <w:tblInd w:w="781" w:type="dxa"/>
        <w:tblBorders>
          <w:top w:val="single" w:sz="4" w:space="0" w:color="auto"/>
          <w:bottom w:val="single" w:sz="4" w:space="0" w:color="auto"/>
        </w:tblBorders>
        <w:tblLook w:val="04A0" w:firstRow="1" w:lastRow="0" w:firstColumn="1" w:lastColumn="0" w:noHBand="0" w:noVBand="1"/>
      </w:tblPr>
      <w:tblGrid>
        <w:gridCol w:w="1685"/>
        <w:gridCol w:w="1635"/>
        <w:gridCol w:w="2472"/>
      </w:tblGrid>
      <w:tr w:rsidR="00FD7D81" w:rsidRPr="00FD7D81" w:rsidTr="0009379B">
        <w:trPr>
          <w:trHeight w:val="237"/>
          <w:jc w:val="center"/>
        </w:trPr>
        <w:tc>
          <w:tcPr>
            <w:tcW w:w="1454" w:type="pct"/>
            <w:tcBorders>
              <w:top w:val="single" w:sz="12" w:space="0" w:color="auto"/>
              <w:bottom w:val="single" w:sz="4" w:space="0" w:color="auto"/>
            </w:tcBorders>
            <w:shd w:val="clear" w:color="auto" w:fill="auto"/>
            <w:noWrap/>
            <w:vAlign w:val="center"/>
          </w:tcPr>
          <w:p w:rsidR="00FD7D81" w:rsidRPr="00FD7D81" w:rsidRDefault="00FD7D81" w:rsidP="0009379B">
            <w:pPr>
              <w:spacing w:after="0" w:line="240" w:lineRule="auto"/>
              <w:jc w:val="center"/>
              <w:rPr>
                <w:rFonts w:ascii="Palatino Linotype" w:eastAsia="Times New Roman" w:hAnsi="Palatino Linotype"/>
                <w:b/>
                <w:bCs/>
                <w:szCs w:val="24"/>
                <w:lang w:eastAsia="vi-VN"/>
              </w:rPr>
            </w:pPr>
            <w:r w:rsidRPr="0009379B">
              <w:rPr>
                <w:rFonts w:ascii="Palatino Linotype" w:eastAsia="Times New Roman" w:hAnsi="Palatino Linotype"/>
                <w:b/>
                <w:bCs/>
                <w:szCs w:val="24"/>
                <w:lang w:eastAsia="vi-VN"/>
              </w:rPr>
              <w:t>Tổ</w:t>
            </w:r>
          </w:p>
        </w:tc>
        <w:tc>
          <w:tcPr>
            <w:tcW w:w="1411" w:type="pct"/>
            <w:tcBorders>
              <w:top w:val="single" w:sz="12" w:space="0" w:color="auto"/>
              <w:bottom w:val="single" w:sz="4" w:space="0" w:color="auto"/>
            </w:tcBorders>
            <w:shd w:val="clear" w:color="auto" w:fill="auto"/>
            <w:noWrap/>
            <w:vAlign w:val="center"/>
          </w:tcPr>
          <w:p w:rsidR="00FD7D81" w:rsidRPr="00FD7D81" w:rsidRDefault="00FD7D81" w:rsidP="00FD7D81">
            <w:pPr>
              <w:spacing w:after="0" w:line="240" w:lineRule="auto"/>
              <w:jc w:val="center"/>
              <w:rPr>
                <w:rFonts w:ascii="Palatino Linotype" w:eastAsia="Times New Roman" w:hAnsi="Palatino Linotype"/>
                <w:b/>
                <w:bCs/>
                <w:szCs w:val="24"/>
                <w:lang w:eastAsia="vi-VN"/>
              </w:rPr>
            </w:pPr>
            <w:r w:rsidRPr="0009379B">
              <w:rPr>
                <w:rFonts w:ascii="Palatino Linotype" w:eastAsia="Times New Roman" w:hAnsi="Palatino Linotype"/>
                <w:b/>
                <w:bCs/>
                <w:szCs w:val="24"/>
                <w:lang w:eastAsia="vi-VN"/>
              </w:rPr>
              <w:t>Tổng số hộ</w:t>
            </w:r>
          </w:p>
        </w:tc>
        <w:tc>
          <w:tcPr>
            <w:tcW w:w="2134" w:type="pct"/>
            <w:tcBorders>
              <w:top w:val="single" w:sz="12" w:space="0" w:color="auto"/>
              <w:bottom w:val="single" w:sz="4" w:space="0" w:color="auto"/>
            </w:tcBorders>
            <w:shd w:val="clear" w:color="auto" w:fill="auto"/>
            <w:noWrap/>
            <w:vAlign w:val="center"/>
          </w:tcPr>
          <w:p w:rsidR="00FD7D81" w:rsidRPr="00FD7D81" w:rsidRDefault="00FD7D81" w:rsidP="00FD7D81">
            <w:pPr>
              <w:spacing w:after="0" w:line="240" w:lineRule="auto"/>
              <w:jc w:val="center"/>
              <w:rPr>
                <w:rFonts w:ascii="Palatino Linotype" w:eastAsia="Times New Roman" w:hAnsi="Palatino Linotype"/>
                <w:b/>
                <w:bCs/>
                <w:szCs w:val="24"/>
                <w:lang w:eastAsia="vi-VN"/>
              </w:rPr>
            </w:pPr>
            <w:r w:rsidRPr="0009379B">
              <w:rPr>
                <w:rFonts w:ascii="Palatino Linotype" w:eastAsia="Times New Roman" w:hAnsi="Palatino Linotype"/>
                <w:b/>
                <w:bCs/>
                <w:szCs w:val="24"/>
                <w:lang w:eastAsia="vi-VN"/>
              </w:rPr>
              <w:t>Tổng số khẩu</w:t>
            </w:r>
          </w:p>
        </w:tc>
      </w:tr>
      <w:tr w:rsidR="0009379B" w:rsidRPr="00FD7D81" w:rsidTr="0009379B">
        <w:trPr>
          <w:trHeight w:val="244"/>
          <w:jc w:val="center"/>
        </w:trPr>
        <w:tc>
          <w:tcPr>
            <w:tcW w:w="1454" w:type="pct"/>
            <w:tcBorders>
              <w:top w:val="single" w:sz="4" w:space="0" w:color="auto"/>
            </w:tcBorders>
            <w:shd w:val="clear" w:color="auto" w:fill="auto"/>
          </w:tcPr>
          <w:p w:rsidR="0009379B" w:rsidRPr="00FD7D81" w:rsidRDefault="0009379B" w:rsidP="0009379B">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12</w:t>
            </w:r>
          </w:p>
        </w:tc>
        <w:tc>
          <w:tcPr>
            <w:tcW w:w="1411" w:type="pct"/>
            <w:tcBorders>
              <w:top w:val="single" w:sz="4" w:space="0" w:color="auto"/>
            </w:tcBorders>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152</w:t>
            </w:r>
          </w:p>
        </w:tc>
        <w:tc>
          <w:tcPr>
            <w:tcW w:w="2134" w:type="pct"/>
            <w:tcBorders>
              <w:top w:val="single" w:sz="4" w:space="0" w:color="auto"/>
            </w:tcBorders>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862</w:t>
            </w:r>
          </w:p>
        </w:tc>
      </w:tr>
      <w:tr w:rsidR="0009379B" w:rsidRPr="00FD7D81" w:rsidTr="0009379B">
        <w:trPr>
          <w:trHeight w:val="237"/>
          <w:jc w:val="center"/>
        </w:trPr>
        <w:tc>
          <w:tcPr>
            <w:tcW w:w="1454" w:type="pct"/>
            <w:shd w:val="clear" w:color="auto" w:fill="auto"/>
          </w:tcPr>
          <w:p w:rsidR="0009379B" w:rsidRPr="00FD7D81" w:rsidRDefault="0009379B" w:rsidP="0009379B">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13</w:t>
            </w:r>
          </w:p>
        </w:tc>
        <w:tc>
          <w:tcPr>
            <w:tcW w:w="1411" w:type="pct"/>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183</w:t>
            </w:r>
          </w:p>
        </w:tc>
        <w:tc>
          <w:tcPr>
            <w:tcW w:w="2134" w:type="pct"/>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1053</w:t>
            </w:r>
          </w:p>
        </w:tc>
      </w:tr>
      <w:tr w:rsidR="0009379B" w:rsidRPr="00FD7D81" w:rsidTr="0009379B">
        <w:trPr>
          <w:trHeight w:val="237"/>
          <w:jc w:val="center"/>
        </w:trPr>
        <w:tc>
          <w:tcPr>
            <w:tcW w:w="1454" w:type="pct"/>
            <w:tcBorders>
              <w:top w:val="nil"/>
              <w:bottom w:val="single" w:sz="12" w:space="0" w:color="auto"/>
            </w:tcBorders>
            <w:shd w:val="clear" w:color="auto" w:fill="auto"/>
          </w:tcPr>
          <w:p w:rsidR="0009379B" w:rsidRPr="00FD7D81" w:rsidRDefault="0009379B" w:rsidP="0009379B">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16</w:t>
            </w:r>
          </w:p>
        </w:tc>
        <w:tc>
          <w:tcPr>
            <w:tcW w:w="1411" w:type="pct"/>
            <w:tcBorders>
              <w:top w:val="nil"/>
              <w:bottom w:val="single" w:sz="12" w:space="0" w:color="auto"/>
            </w:tcBorders>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208</w:t>
            </w:r>
          </w:p>
        </w:tc>
        <w:tc>
          <w:tcPr>
            <w:tcW w:w="2134" w:type="pct"/>
            <w:tcBorders>
              <w:top w:val="nil"/>
              <w:bottom w:val="single" w:sz="12" w:space="0" w:color="auto"/>
            </w:tcBorders>
            <w:shd w:val="clear" w:color="auto" w:fill="auto"/>
          </w:tcPr>
          <w:p w:rsidR="0009379B" w:rsidRPr="00FD7D81" w:rsidRDefault="0009379B" w:rsidP="00FD7D81">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1128</w:t>
            </w:r>
          </w:p>
        </w:tc>
      </w:tr>
    </w:tbl>
    <w:p w:rsidR="00491C67" w:rsidRDefault="00A055BB" w:rsidP="00FB3CD4">
      <w:pPr>
        <w:spacing w:after="0" w:line="320" w:lineRule="atLeast"/>
        <w:jc w:val="right"/>
        <w:rPr>
          <w:rFonts w:ascii="Palatino Linotype" w:hAnsi="Palatino Linotype"/>
          <w:sz w:val="20"/>
          <w:szCs w:val="20"/>
        </w:rPr>
      </w:pPr>
      <w:r w:rsidRPr="00E71B01">
        <w:rPr>
          <w:rFonts w:ascii="Palatino Linotype" w:hAnsi="Palatino Linotype"/>
        </w:rPr>
        <w:tab/>
      </w:r>
      <w:r w:rsidR="00C609E4" w:rsidRPr="00C609E4">
        <w:rPr>
          <w:rFonts w:ascii="Palatino Linotype" w:hAnsi="Palatino Linotype"/>
          <w:sz w:val="20"/>
          <w:szCs w:val="20"/>
        </w:rPr>
        <w:t>(Nguồn: Điều tra thực tế, 2017)</w:t>
      </w:r>
    </w:p>
    <w:p w:rsidR="00DB7D8E" w:rsidRPr="00491C67" w:rsidRDefault="00224FAF" w:rsidP="00224FAF">
      <w:pPr>
        <w:spacing w:before="120" w:after="0" w:line="320" w:lineRule="atLeast"/>
        <w:jc w:val="both"/>
        <w:rPr>
          <w:rFonts w:ascii="Palatino Linotype" w:hAnsi="Palatino Linotype"/>
          <w:sz w:val="20"/>
          <w:szCs w:val="20"/>
        </w:rPr>
      </w:pPr>
      <w:r>
        <w:rPr>
          <w:rFonts w:ascii="Palatino Linotype" w:hAnsi="Palatino Linotype"/>
          <w:b/>
          <w:i/>
        </w:rPr>
        <w:tab/>
      </w:r>
      <w:r w:rsidR="00A055BB" w:rsidRPr="00803DBB">
        <w:rPr>
          <w:rFonts w:ascii="Palatino Linotype" w:hAnsi="Palatino Linotype"/>
          <w:b/>
          <w:i/>
        </w:rPr>
        <w:t>Về</w:t>
      </w:r>
      <w:r w:rsidR="005F3296">
        <w:rPr>
          <w:rFonts w:ascii="Palatino Linotype" w:hAnsi="Palatino Linotype"/>
          <w:b/>
          <w:i/>
        </w:rPr>
        <w:t xml:space="preserve"> lao động</w:t>
      </w:r>
      <w:r w:rsidR="00A055BB" w:rsidRPr="00E71B01">
        <w:rPr>
          <w:rFonts w:ascii="Palatino Linotype" w:hAnsi="Palatino Linotype"/>
        </w:rPr>
        <w:t xml:space="preserve">: </w:t>
      </w:r>
      <w:r w:rsidR="005F3296">
        <w:rPr>
          <w:rFonts w:ascii="Palatino Linotype" w:hAnsi="Palatino Linotype"/>
        </w:rPr>
        <w:t xml:space="preserve"> </w:t>
      </w:r>
      <w:r w:rsidR="003741EB">
        <w:rPr>
          <w:rFonts w:ascii="Palatino Linotype" w:hAnsi="Palatino Linotype"/>
        </w:rPr>
        <w:t>Đa số lao động thuộc cộng đồng cư dân vạn đò có trình độ thấp là thực tế phổ biến tại địa bàn khảo sát, đây cũng chính</w:t>
      </w:r>
      <w:r w:rsidR="003741EB" w:rsidRPr="003741EB">
        <w:rPr>
          <w:rFonts w:ascii="Palatino Linotype" w:hAnsi="Palatino Linotype"/>
        </w:rPr>
        <w:t xml:space="preserve"> là rào cản khiến lao động tại địa phương khó tiếp cận được cơ hội việc làm tốt.</w:t>
      </w:r>
      <w:r w:rsidR="002D4296">
        <w:rPr>
          <w:rFonts w:ascii="Palatino Linotype" w:hAnsi="Palatino Linotype"/>
        </w:rPr>
        <w:t xml:space="preserve"> </w:t>
      </w:r>
      <w:r w:rsidR="00A055BB" w:rsidRPr="00E71B01">
        <w:rPr>
          <w:rFonts w:ascii="Palatino Linotype" w:hAnsi="Palatino Linotype"/>
        </w:rPr>
        <w:t>Biểu đồ dưới đây sẽ thể hiện phần nào trình độ dân trí của cư dân vạn đò qua việc khảo sát trình độ học vấn của các chủ hộ gia đình. Chủ hộ có độ tuổi nhỏ nhất là 22 tuổi và lớn nhất là 81 tuổ</w:t>
      </w:r>
      <w:r w:rsidR="00DB7D8E">
        <w:rPr>
          <w:rFonts w:ascii="Palatino Linotype" w:hAnsi="Palatino Linotype"/>
        </w:rPr>
        <w:t>i</w:t>
      </w:r>
      <w:r w:rsidR="00FF63C9">
        <w:rPr>
          <w:rFonts w:ascii="Palatino Linotype" w:hAnsi="Palatino Linotype"/>
        </w:rPr>
        <w:t>.</w:t>
      </w:r>
    </w:p>
    <w:p w:rsidR="00A95533" w:rsidRDefault="00970B41" w:rsidP="009360EF">
      <w:pPr>
        <w:spacing w:before="120" w:after="0" w:line="320" w:lineRule="atLeast"/>
        <w:jc w:val="both"/>
        <w:rPr>
          <w:rFonts w:ascii="Palatino Linotype" w:hAnsi="Palatino Linotype"/>
          <w:noProof/>
        </w:rPr>
      </w:pPr>
      <w:r w:rsidRPr="00C27B78">
        <w:rPr>
          <w:rFonts w:ascii="Palatino Linotype" w:hAnsi="Palatino Linotype"/>
          <w:noProof/>
          <w:shd w:val="clear" w:color="auto" w:fill="000000" w:themeFill="text1"/>
        </w:rPr>
        <w:drawing>
          <wp:inline distT="0" distB="0" distL="0" distR="0" wp14:anchorId="6211BEC6" wp14:editId="5DD0A565">
            <wp:extent cx="5304655" cy="1272209"/>
            <wp:effectExtent l="0" t="0" r="10795" b="2349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5533" w:rsidRDefault="00A95533" w:rsidP="00FB3CD4">
      <w:pPr>
        <w:spacing w:after="0" w:line="320" w:lineRule="atLeast"/>
        <w:jc w:val="center"/>
        <w:rPr>
          <w:rFonts w:ascii="Palatino Linotype" w:hAnsi="Palatino Linotype"/>
          <w:noProof/>
          <w:sz w:val="20"/>
          <w:szCs w:val="20"/>
        </w:rPr>
      </w:pPr>
      <w:r w:rsidRPr="001D6558">
        <w:rPr>
          <w:rFonts w:ascii="Palatino Linotype" w:hAnsi="Palatino Linotype"/>
          <w:b/>
          <w:noProof/>
          <w:sz w:val="20"/>
          <w:szCs w:val="20"/>
        </w:rPr>
        <w:t>Hình 1</w:t>
      </w:r>
      <w:r w:rsidRPr="001D6558">
        <w:rPr>
          <w:rFonts w:ascii="Palatino Linotype" w:hAnsi="Palatino Linotype"/>
          <w:noProof/>
          <w:sz w:val="20"/>
          <w:szCs w:val="20"/>
        </w:rPr>
        <w:t>. Trình độ học vấn của chủ hộ gia đình tại khu Hương Sơ</w:t>
      </w:r>
      <w:bookmarkStart w:id="6" w:name="_Toc480292052"/>
      <w:bookmarkStart w:id="7" w:name="_Toc484496358"/>
      <w:bookmarkStart w:id="8" w:name="_Toc485106959"/>
    </w:p>
    <w:p w:rsidR="00FB3CD4" w:rsidRDefault="00FB3CD4" w:rsidP="00FB3CD4">
      <w:pPr>
        <w:spacing w:after="0" w:line="320" w:lineRule="atLeast"/>
        <w:jc w:val="right"/>
        <w:rPr>
          <w:rFonts w:ascii="Palatino Linotype" w:hAnsi="Palatino Linotype"/>
          <w:noProof/>
          <w:sz w:val="20"/>
          <w:szCs w:val="20"/>
        </w:rPr>
      </w:pPr>
      <w:r w:rsidRPr="00FB3CD4">
        <w:rPr>
          <w:rFonts w:ascii="Palatino Linotype" w:hAnsi="Palatino Linotype"/>
          <w:noProof/>
          <w:sz w:val="20"/>
          <w:szCs w:val="20"/>
        </w:rPr>
        <w:t>(Nguồn: Điều tra thực tế, 2017)</w:t>
      </w:r>
    </w:p>
    <w:p w:rsidR="002D4296" w:rsidRPr="002D4296" w:rsidRDefault="002D4296" w:rsidP="002D4296">
      <w:pPr>
        <w:spacing w:before="120" w:after="0" w:line="320" w:lineRule="atLeast"/>
        <w:jc w:val="both"/>
        <w:rPr>
          <w:rFonts w:ascii="Palatino Linotype" w:hAnsi="Palatino Linotype"/>
          <w:noProof/>
        </w:rPr>
      </w:pPr>
      <w:r>
        <w:rPr>
          <w:rFonts w:ascii="Palatino Linotype" w:hAnsi="Palatino Linotype"/>
          <w:noProof/>
        </w:rPr>
        <w:tab/>
        <w:t xml:space="preserve">Điều đáng lưu ý về đặc điểm lao động thuộc cộng đồng này là </w:t>
      </w:r>
      <w:r w:rsidRPr="002D4296">
        <w:rPr>
          <w:rFonts w:ascii="Palatino Linotype" w:hAnsi="Palatino Linotype"/>
          <w:noProof/>
        </w:rPr>
        <w:t>hầu</w:t>
      </w:r>
      <w:r>
        <w:rPr>
          <w:rFonts w:ascii="Palatino Linotype" w:hAnsi="Palatino Linotype"/>
          <w:noProof/>
        </w:rPr>
        <w:t xml:space="preserve"> hết</w:t>
      </w:r>
      <w:r w:rsidRPr="002D4296">
        <w:rPr>
          <w:rFonts w:ascii="Palatino Linotype" w:hAnsi="Palatino Linotype"/>
          <w:noProof/>
        </w:rPr>
        <w:t xml:space="preserve"> </w:t>
      </w:r>
      <w:r>
        <w:rPr>
          <w:rFonts w:ascii="Palatino Linotype" w:hAnsi="Palatino Linotype"/>
          <w:noProof/>
        </w:rPr>
        <w:t>các</w:t>
      </w:r>
      <w:r w:rsidRPr="002D4296">
        <w:rPr>
          <w:rFonts w:ascii="Palatino Linotype" w:hAnsi="Palatino Linotype"/>
          <w:noProof/>
        </w:rPr>
        <w:t xml:space="preserve"> gia đình vạn đò </w:t>
      </w:r>
      <w:r>
        <w:rPr>
          <w:rFonts w:ascii="Palatino Linotype" w:hAnsi="Palatino Linotype"/>
          <w:noProof/>
        </w:rPr>
        <w:t>đều để</w:t>
      </w:r>
      <w:r w:rsidRPr="002D4296">
        <w:rPr>
          <w:rFonts w:ascii="Palatino Linotype" w:hAnsi="Palatino Linotype"/>
          <w:noProof/>
        </w:rPr>
        <w:t xml:space="preserve"> trẻ em </w:t>
      </w:r>
      <w:r>
        <w:rPr>
          <w:rFonts w:ascii="Palatino Linotype" w:hAnsi="Palatino Linotype"/>
          <w:noProof/>
        </w:rPr>
        <w:t>tham gia vào hoạt động kiếm tiền</w:t>
      </w:r>
      <w:r w:rsidRPr="002D4296">
        <w:rPr>
          <w:rFonts w:ascii="Palatino Linotype" w:hAnsi="Palatino Linotype"/>
          <w:noProof/>
        </w:rPr>
        <w:t xml:space="preserve"> mặc dù các em </w:t>
      </w:r>
      <w:r w:rsidR="00B2017F">
        <w:rPr>
          <w:rFonts w:ascii="Palatino Linotype" w:hAnsi="Palatino Linotype"/>
          <w:noProof/>
        </w:rPr>
        <w:t>đang</w:t>
      </w:r>
      <w:r w:rsidRPr="002D4296">
        <w:rPr>
          <w:rFonts w:ascii="Palatino Linotype" w:hAnsi="Palatino Linotype"/>
          <w:noProof/>
        </w:rPr>
        <w:t xml:space="preserve"> ở lứa tuổi chưa được phép tham gia lao động theo quy định của Nhà nước. Các công việc mà trẻ em ở đây thường làm là đi bán dạo vào buổi tối tại các quán nhậu trên địa bàn thành phố Huế. Nguyên nhân của việc phải tham gia lao động ở độ tuổi còn quá nhỏ là do công việc của bố mẹ bấp bênh, thu nhập của gia đình không đủ trang trải chi phí hàng ngày và học tập củ</w:t>
      </w:r>
      <w:r w:rsidR="00013427">
        <w:rPr>
          <w:rFonts w:ascii="Palatino Linotype" w:hAnsi="Palatino Linotype"/>
          <w:noProof/>
        </w:rPr>
        <w:t xml:space="preserve">a con cái, </w:t>
      </w:r>
      <w:r w:rsidRPr="002D4296">
        <w:rPr>
          <w:rFonts w:ascii="Palatino Linotype" w:hAnsi="Palatino Linotype"/>
          <w:noProof/>
        </w:rPr>
        <w:t xml:space="preserve">đời sống của người dân còn gặp vô vàn khó khăn. Nhiều hộ khi được hỏi đều mong muốn “có giấy hộ nghèo”… </w:t>
      </w:r>
    </w:p>
    <w:p w:rsidR="00A055BB" w:rsidRPr="00E71B01" w:rsidRDefault="0030799B" w:rsidP="00261858">
      <w:pPr>
        <w:spacing w:before="120" w:after="0" w:line="320" w:lineRule="atLeast"/>
        <w:jc w:val="both"/>
        <w:rPr>
          <w:rFonts w:ascii="Palatino Linotype" w:hAnsi="Palatino Linotype"/>
          <w:noProof/>
        </w:rPr>
      </w:pPr>
      <w:r>
        <w:rPr>
          <w:rFonts w:ascii="Palatino Linotype" w:hAnsi="Palatino Linotype"/>
          <w:b/>
          <w:i/>
        </w:rPr>
        <w:tab/>
      </w:r>
      <w:r w:rsidR="005F3296">
        <w:rPr>
          <w:rFonts w:ascii="Palatino Linotype" w:hAnsi="Palatino Linotype"/>
          <w:b/>
          <w:i/>
        </w:rPr>
        <w:t>Về</w:t>
      </w:r>
      <w:r w:rsidR="00A055BB" w:rsidRPr="00E71B01">
        <w:rPr>
          <w:rFonts w:ascii="Palatino Linotype" w:hAnsi="Palatino Linotype"/>
          <w:b/>
          <w:i/>
        </w:rPr>
        <w:t xml:space="preserve"> việc là</w:t>
      </w:r>
      <w:bookmarkEnd w:id="6"/>
      <w:bookmarkEnd w:id="7"/>
      <w:bookmarkEnd w:id="8"/>
      <w:r w:rsidR="005F3296">
        <w:rPr>
          <w:rFonts w:ascii="Palatino Linotype" w:hAnsi="Palatino Linotype"/>
          <w:b/>
          <w:i/>
        </w:rPr>
        <w:t>m</w:t>
      </w:r>
      <w:r w:rsidR="00261858">
        <w:rPr>
          <w:rFonts w:ascii="Palatino Linotype" w:hAnsi="Palatino Linotype"/>
          <w:noProof/>
        </w:rPr>
        <w:t xml:space="preserve">: </w:t>
      </w:r>
      <w:r w:rsidR="00A055BB" w:rsidRPr="00E71B01">
        <w:rPr>
          <w:rFonts w:ascii="Palatino Linotype" w:hAnsi="Palatino Linotype"/>
        </w:rPr>
        <w:t xml:space="preserve">Những ngành nghề chính của cư dân thủy diện trước và sau tái định cư cơ bản vẫn là những công việc lao động phổ thông, cần tới sức lao động từ chân tay. Cơ cấu nghề nghiệp được thể hiện qua </w:t>
      </w:r>
      <w:r w:rsidR="00713AEA">
        <w:rPr>
          <w:rFonts w:ascii="Palatino Linotype" w:hAnsi="Palatino Linotype"/>
        </w:rPr>
        <w:t>hình 2</w:t>
      </w:r>
      <w:r w:rsidR="00A055BB" w:rsidRPr="00E71B01">
        <w:rPr>
          <w:rFonts w:ascii="Palatino Linotype" w:hAnsi="Palatino Linotype"/>
        </w:rPr>
        <w:t xml:space="preserve">. </w:t>
      </w:r>
    </w:p>
    <w:p w:rsidR="00284E73" w:rsidRDefault="00A055BB" w:rsidP="00284E73">
      <w:pPr>
        <w:spacing w:before="120" w:after="0" w:line="320" w:lineRule="atLeast"/>
        <w:jc w:val="both"/>
        <w:rPr>
          <w:rFonts w:ascii="Palatino Linotype" w:hAnsi="Palatino Linotype"/>
          <w:b/>
          <w:i/>
          <w:iCs/>
          <w:sz w:val="20"/>
          <w:szCs w:val="20"/>
        </w:rPr>
      </w:pPr>
      <w:r w:rsidRPr="00E71B01">
        <w:rPr>
          <w:rFonts w:ascii="Palatino Linotype" w:hAnsi="Palatino Linotype"/>
          <w:noProof/>
        </w:rPr>
        <w:drawing>
          <wp:inline distT="0" distB="0" distL="0" distR="0" wp14:anchorId="7C109D86" wp14:editId="24780E99">
            <wp:extent cx="5281937" cy="1607299"/>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9" w:name="_Toc484496584"/>
      <w:bookmarkStart w:id="10" w:name="_Toc485107086"/>
      <w:bookmarkStart w:id="11" w:name="_Toc485107162"/>
    </w:p>
    <w:p w:rsidR="00686D51" w:rsidRDefault="00B3746F" w:rsidP="00CF4D46">
      <w:pPr>
        <w:spacing w:after="0" w:line="320" w:lineRule="atLeast"/>
        <w:jc w:val="center"/>
        <w:rPr>
          <w:rFonts w:ascii="Palatino Linotype" w:hAnsi="Palatino Linotype"/>
          <w:iCs/>
          <w:sz w:val="20"/>
          <w:szCs w:val="20"/>
        </w:rPr>
      </w:pPr>
      <w:r w:rsidRPr="009B1FB0">
        <w:rPr>
          <w:rFonts w:ascii="Palatino Linotype" w:hAnsi="Palatino Linotype"/>
          <w:b/>
          <w:i/>
          <w:iCs/>
          <w:sz w:val="20"/>
          <w:szCs w:val="20"/>
        </w:rPr>
        <w:lastRenderedPageBreak/>
        <w:t>Hình 2</w:t>
      </w:r>
      <w:r w:rsidRPr="00A4110F">
        <w:rPr>
          <w:rFonts w:ascii="Palatino Linotype" w:hAnsi="Palatino Linotype"/>
          <w:i/>
          <w:iCs/>
          <w:sz w:val="20"/>
          <w:szCs w:val="20"/>
        </w:rPr>
        <w:t xml:space="preserve">. </w:t>
      </w:r>
      <w:r w:rsidRPr="00A4110F">
        <w:rPr>
          <w:rFonts w:ascii="Palatino Linotype" w:hAnsi="Palatino Linotype"/>
          <w:iCs/>
          <w:sz w:val="20"/>
          <w:szCs w:val="20"/>
        </w:rPr>
        <w:t>Cơ cấu nghề nghiệp của chủ hộ</w:t>
      </w:r>
      <w:bookmarkEnd w:id="9"/>
      <w:bookmarkEnd w:id="10"/>
      <w:bookmarkEnd w:id="11"/>
    </w:p>
    <w:p w:rsidR="00CF4D46" w:rsidRDefault="00CF4D46" w:rsidP="00CF4D46">
      <w:pPr>
        <w:spacing w:after="0" w:line="320" w:lineRule="atLeast"/>
        <w:jc w:val="right"/>
        <w:rPr>
          <w:rFonts w:ascii="Palatino Linotype" w:hAnsi="Palatino Linotype"/>
          <w:iCs/>
          <w:sz w:val="20"/>
          <w:szCs w:val="20"/>
        </w:rPr>
      </w:pPr>
      <w:r w:rsidRPr="00CF4D46">
        <w:rPr>
          <w:rFonts w:ascii="Palatino Linotype" w:hAnsi="Palatino Linotype"/>
          <w:iCs/>
          <w:sz w:val="20"/>
          <w:szCs w:val="20"/>
        </w:rPr>
        <w:t>(Nguồn: Điều tra thực tế, 2017)</w:t>
      </w:r>
    </w:p>
    <w:p w:rsidR="00284E73" w:rsidRPr="00686D51" w:rsidRDefault="00686D51" w:rsidP="00EA4C84">
      <w:pPr>
        <w:spacing w:before="120" w:after="0" w:line="320" w:lineRule="atLeast"/>
        <w:jc w:val="both"/>
        <w:rPr>
          <w:rFonts w:ascii="Palatino Linotype" w:hAnsi="Palatino Linotype"/>
          <w:iCs/>
          <w:sz w:val="20"/>
          <w:szCs w:val="20"/>
        </w:rPr>
      </w:pPr>
      <w:r>
        <w:rPr>
          <w:rFonts w:ascii="Palatino Linotype" w:hAnsi="Palatino Linotype"/>
          <w:iCs/>
          <w:sz w:val="20"/>
          <w:szCs w:val="20"/>
        </w:rPr>
        <w:tab/>
      </w:r>
      <w:r w:rsidR="00284E73" w:rsidRPr="00284E73">
        <w:rPr>
          <w:rFonts w:ascii="Palatino Linotype" w:hAnsi="Palatino Linotype"/>
        </w:rPr>
        <w:t>Hiện tại, bên cạnh các công việc lao động chân tay thì đã xuất hiện thêm một số công việc mang tính chất “văn phòng” như in ấn, photocoy, nhân viên bán hàng tại các siêu thị do nhiều thanh niên được hỗ trợ đào tạo nghề. Rất nhiều hộ tái định cư mong muốn thay đổi nghề nghiệp để cải thiện cuộc sống nhưng không dễ. Những lao động lớn tuổi và không có khả năng chuyển đổi nghề nghiệp, phải tiếp tục với công việc truyền thống.</w:t>
      </w:r>
    </w:p>
    <w:p w:rsidR="001E063A" w:rsidRDefault="00680EB9" w:rsidP="009360EF">
      <w:pPr>
        <w:spacing w:before="120" w:after="0" w:line="320" w:lineRule="atLeast"/>
        <w:jc w:val="both"/>
        <w:rPr>
          <w:rFonts w:ascii="Palatino Linotype" w:hAnsi="Palatino Linotype"/>
        </w:rPr>
      </w:pPr>
      <w:r w:rsidRPr="00E71B01">
        <w:rPr>
          <w:rFonts w:ascii="Palatino Linotype" w:hAnsi="Palatino Linotype"/>
          <w:b/>
        </w:rPr>
        <w:t xml:space="preserve">2. Thực trạng tiếp cận dịch vụ xã hội cơ bản của cư dân vạn đò tái định cư </w:t>
      </w:r>
    </w:p>
    <w:p w:rsidR="00C91F4C" w:rsidRPr="001E063A" w:rsidRDefault="001E063A" w:rsidP="009360EF">
      <w:pPr>
        <w:spacing w:before="120" w:after="0" w:line="320" w:lineRule="atLeast"/>
        <w:jc w:val="both"/>
        <w:rPr>
          <w:rFonts w:ascii="Palatino Linotype" w:hAnsi="Palatino Linotype"/>
        </w:rPr>
      </w:pPr>
      <w:r>
        <w:rPr>
          <w:rFonts w:ascii="Palatino Linotype" w:hAnsi="Palatino Linotype"/>
        </w:rPr>
        <w:tab/>
      </w:r>
      <w:r w:rsidR="00B154C4">
        <w:rPr>
          <w:rFonts w:ascii="Palatino Linotype" w:hAnsi="Palatino Linotype"/>
        </w:rPr>
        <w:t>Đ</w:t>
      </w:r>
      <w:r w:rsidR="00C91F4C" w:rsidRPr="00E71B01">
        <w:rPr>
          <w:rFonts w:ascii="Palatino Linotype" w:hAnsi="Palatino Linotype"/>
        </w:rPr>
        <w:t xml:space="preserve">ảm bảo cuộc sống ổn định hậu tái định cư, các cấp chính quyền của tỉnh Thừa Thiên Huế đã triển khai thực hiện nhiều chính sách </w:t>
      </w:r>
      <w:r w:rsidR="002202E5">
        <w:rPr>
          <w:rFonts w:ascii="Palatino Linotype" w:hAnsi="Palatino Linotype"/>
        </w:rPr>
        <w:t xml:space="preserve">an sinh xã hội cho cư dân vạn đò. </w:t>
      </w:r>
      <w:r w:rsidR="00C91F4C" w:rsidRPr="00E71B01">
        <w:rPr>
          <w:rFonts w:ascii="Palatino Linotype" w:hAnsi="Palatino Linotype"/>
        </w:rPr>
        <w:t>Tuy nhiên, việc tiếp cậ</w:t>
      </w:r>
      <w:r w:rsidR="00A77554">
        <w:rPr>
          <w:rFonts w:ascii="Palatino Linotype" w:hAnsi="Palatino Linotype"/>
        </w:rPr>
        <w:t xml:space="preserve">n </w:t>
      </w:r>
      <w:r w:rsidR="00C91F4C" w:rsidRPr="00E71B01">
        <w:rPr>
          <w:rFonts w:ascii="Palatino Linotype" w:hAnsi="Palatino Linotype"/>
        </w:rPr>
        <w:t xml:space="preserve">chính sách của nhóm </w:t>
      </w:r>
      <w:r w:rsidR="002202E5">
        <w:rPr>
          <w:rFonts w:ascii="Palatino Linotype" w:hAnsi="Palatino Linotype"/>
        </w:rPr>
        <w:t>này</w:t>
      </w:r>
      <w:r w:rsidR="00C91F4C" w:rsidRPr="00E71B01">
        <w:rPr>
          <w:rFonts w:ascii="Palatino Linotype" w:hAnsi="Palatino Linotype"/>
        </w:rPr>
        <w:t xml:space="preserve"> thường khó khăn hơn so với các nhóm dân cư khác. </w:t>
      </w:r>
      <w:r w:rsidR="002202E5">
        <w:rPr>
          <w:rFonts w:ascii="Palatino Linotype" w:hAnsi="Palatino Linotype"/>
        </w:rPr>
        <w:t xml:space="preserve">Điều này sẽ </w:t>
      </w:r>
      <w:r w:rsidR="00C91F4C" w:rsidRPr="00E71B01">
        <w:rPr>
          <w:rFonts w:ascii="Palatino Linotype" w:hAnsi="Palatino Linotype"/>
        </w:rPr>
        <w:t>được mô tả cụ thể hơn qua việc tiếp cận các dịch vụ xã hội cơ bản của cư dân vạn đò tại khu tái định cư Hương Sơ hiện nay.</w:t>
      </w:r>
    </w:p>
    <w:p w:rsidR="00C91F4C" w:rsidRPr="00E71B01" w:rsidRDefault="00074E39" w:rsidP="009360EF">
      <w:pPr>
        <w:spacing w:before="120" w:after="0" w:line="320" w:lineRule="atLeast"/>
        <w:jc w:val="both"/>
        <w:rPr>
          <w:rFonts w:ascii="Palatino Linotype" w:hAnsi="Palatino Linotype"/>
          <w:b/>
          <w:i/>
        </w:rPr>
      </w:pPr>
      <w:r w:rsidRPr="00E71B01">
        <w:rPr>
          <w:rFonts w:ascii="Palatino Linotype" w:hAnsi="Palatino Linotype"/>
          <w:b/>
          <w:i/>
        </w:rPr>
        <w:t>2</w:t>
      </w:r>
      <w:r w:rsidR="00C91F4C" w:rsidRPr="00E71B01">
        <w:rPr>
          <w:rFonts w:ascii="Palatino Linotype" w:hAnsi="Palatino Linotype"/>
          <w:b/>
          <w:i/>
        </w:rPr>
        <w:t>.1. Tiếp cận nhà ở</w:t>
      </w:r>
    </w:p>
    <w:p w:rsidR="00BC4D44" w:rsidRDefault="00AE0FF3" w:rsidP="00BC4D44">
      <w:pPr>
        <w:spacing w:before="120" w:after="0" w:line="320" w:lineRule="atLeast"/>
        <w:ind w:firstLine="567"/>
        <w:jc w:val="both"/>
        <w:rPr>
          <w:rFonts w:ascii="Palatino Linotype" w:hAnsi="Palatino Linotype"/>
          <w:spacing w:val="-6"/>
        </w:rPr>
      </w:pPr>
      <w:r>
        <w:rPr>
          <w:rFonts w:ascii="Palatino Linotype" w:hAnsi="Palatino Linotype"/>
          <w:spacing w:val="-4"/>
        </w:rPr>
        <w:t>N</w:t>
      </w:r>
      <w:r w:rsidR="00C91F4C" w:rsidRPr="00E71B01">
        <w:rPr>
          <w:rFonts w:ascii="Palatino Linotype" w:hAnsi="Palatino Linotype"/>
          <w:spacing w:val="-4"/>
        </w:rPr>
        <w:t>hà ở là vấn đề chú ý nhất đối với các hộ tái định cư vốn là cư dân thủy diện. Mặc dù dự án tái định cư đã rất cố gắng tạo mọi điều kiện cho người dân có được nhà ở ổn định, vẫn không ít hộ gặp khó khăn về điều kiện nhà ở và không gian sinh hoạt cho gia đình</w:t>
      </w:r>
      <w:r w:rsidR="00BC4D44">
        <w:rPr>
          <w:rFonts w:ascii="Palatino Linotype" w:hAnsi="Palatino Linotype"/>
          <w:spacing w:val="-4"/>
        </w:rPr>
        <w:t>.</w:t>
      </w:r>
      <w:r w:rsidR="00C91F4C" w:rsidRPr="00E71B01">
        <w:rPr>
          <w:rFonts w:ascii="Palatino Linotype" w:hAnsi="Palatino Linotype"/>
          <w:spacing w:val="-4"/>
        </w:rPr>
        <w:t xml:space="preserve"> </w:t>
      </w:r>
    </w:p>
    <w:p w:rsidR="00C91F4C" w:rsidRPr="00BC4D44" w:rsidRDefault="00C91F4C" w:rsidP="00BC4D44">
      <w:pPr>
        <w:spacing w:before="120" w:after="120" w:line="320" w:lineRule="atLeast"/>
        <w:ind w:firstLine="567"/>
        <w:jc w:val="center"/>
        <w:rPr>
          <w:rFonts w:ascii="Palatino Linotype" w:hAnsi="Palatino Linotype"/>
          <w:spacing w:val="-6"/>
        </w:rPr>
      </w:pPr>
      <w:r w:rsidRPr="00BC4D44">
        <w:rPr>
          <w:rFonts w:ascii="Palatino Linotype" w:hAnsi="Palatino Linotype"/>
          <w:b/>
          <w:i/>
          <w:spacing w:val="-6"/>
          <w:sz w:val="20"/>
          <w:szCs w:val="20"/>
        </w:rPr>
        <w:t>Bả</w:t>
      </w:r>
      <w:r w:rsidR="00BC4D44" w:rsidRPr="00BC4D44">
        <w:rPr>
          <w:rFonts w:ascii="Palatino Linotype" w:hAnsi="Palatino Linotype"/>
          <w:b/>
          <w:i/>
          <w:spacing w:val="-6"/>
          <w:sz w:val="20"/>
          <w:szCs w:val="20"/>
        </w:rPr>
        <w:t>ng 2</w:t>
      </w:r>
      <w:r w:rsidR="00BC4D44" w:rsidRPr="00BC4D44">
        <w:rPr>
          <w:rFonts w:ascii="Palatino Linotype" w:hAnsi="Palatino Linotype"/>
          <w:spacing w:val="-6"/>
          <w:sz w:val="20"/>
          <w:szCs w:val="20"/>
        </w:rPr>
        <w:t xml:space="preserve">. </w:t>
      </w:r>
      <w:r w:rsidRPr="00BC4D44">
        <w:rPr>
          <w:rFonts w:ascii="Palatino Linotype" w:hAnsi="Palatino Linotype"/>
          <w:sz w:val="20"/>
          <w:szCs w:val="20"/>
        </w:rPr>
        <w:t>Tỷ lệ hộ ở chung nhà với hộ khác</w:t>
      </w:r>
    </w:p>
    <w:tbl>
      <w:tblPr>
        <w:tblW w:w="4098" w:type="pct"/>
        <w:jc w:val="center"/>
        <w:tblInd w:w="-575" w:type="dxa"/>
        <w:tblBorders>
          <w:top w:val="single" w:sz="4" w:space="0" w:color="auto"/>
          <w:bottom w:val="single" w:sz="4" w:space="0" w:color="auto"/>
        </w:tblBorders>
        <w:tblLook w:val="04A0" w:firstRow="1" w:lastRow="0" w:firstColumn="1" w:lastColumn="0" w:noHBand="0" w:noVBand="1"/>
      </w:tblPr>
      <w:tblGrid>
        <w:gridCol w:w="3041"/>
        <w:gridCol w:w="1635"/>
        <w:gridCol w:w="2472"/>
      </w:tblGrid>
      <w:tr w:rsidR="00725888" w:rsidRPr="00FD7D81" w:rsidTr="00725888">
        <w:trPr>
          <w:trHeight w:val="237"/>
          <w:jc w:val="center"/>
        </w:trPr>
        <w:tc>
          <w:tcPr>
            <w:tcW w:w="2127" w:type="pct"/>
            <w:tcBorders>
              <w:top w:val="single" w:sz="12" w:space="0" w:color="auto"/>
              <w:bottom w:val="single" w:sz="4" w:space="0" w:color="auto"/>
            </w:tcBorders>
            <w:shd w:val="clear" w:color="auto" w:fill="auto"/>
            <w:noWrap/>
            <w:vAlign w:val="center"/>
          </w:tcPr>
          <w:p w:rsidR="00725888" w:rsidRPr="00FD7D81" w:rsidRDefault="00BC4D44" w:rsidP="0051025E">
            <w:pPr>
              <w:spacing w:after="0" w:line="240" w:lineRule="auto"/>
              <w:jc w:val="center"/>
              <w:rPr>
                <w:rFonts w:ascii="Palatino Linotype" w:eastAsia="Times New Roman" w:hAnsi="Palatino Linotype"/>
                <w:b/>
                <w:bCs/>
                <w:szCs w:val="24"/>
                <w:lang w:eastAsia="vi-VN"/>
              </w:rPr>
            </w:pPr>
            <w:r w:rsidRPr="00E71B01">
              <w:rPr>
                <w:rFonts w:ascii="Palatino Linotype" w:hAnsi="Palatino Linotype"/>
                <w:b/>
              </w:rPr>
              <w:t>Loại hộ</w:t>
            </w:r>
            <w:r w:rsidRPr="0009379B">
              <w:rPr>
                <w:rFonts w:ascii="Palatino Linotype" w:eastAsia="Times New Roman" w:hAnsi="Palatino Linotype"/>
                <w:b/>
                <w:bCs/>
                <w:szCs w:val="24"/>
                <w:lang w:eastAsia="vi-VN"/>
              </w:rPr>
              <w:t xml:space="preserve"> </w:t>
            </w:r>
          </w:p>
        </w:tc>
        <w:tc>
          <w:tcPr>
            <w:tcW w:w="1144" w:type="pct"/>
            <w:tcBorders>
              <w:top w:val="single" w:sz="12" w:space="0" w:color="auto"/>
              <w:bottom w:val="single" w:sz="4" w:space="0" w:color="auto"/>
            </w:tcBorders>
            <w:shd w:val="clear" w:color="auto" w:fill="auto"/>
            <w:noWrap/>
            <w:vAlign w:val="center"/>
          </w:tcPr>
          <w:p w:rsidR="00725888" w:rsidRPr="00FD7D81" w:rsidRDefault="00BC4D44" w:rsidP="00BC4D44">
            <w:pPr>
              <w:spacing w:after="0" w:line="240" w:lineRule="auto"/>
              <w:jc w:val="center"/>
              <w:rPr>
                <w:rFonts w:ascii="Palatino Linotype" w:eastAsia="Times New Roman" w:hAnsi="Palatino Linotype"/>
                <w:b/>
                <w:bCs/>
                <w:szCs w:val="24"/>
                <w:lang w:eastAsia="vi-VN"/>
              </w:rPr>
            </w:pPr>
            <w:r w:rsidRPr="00E71B01">
              <w:rPr>
                <w:rFonts w:ascii="Palatino Linotype" w:hAnsi="Palatino Linotype"/>
                <w:b/>
              </w:rPr>
              <w:t>Số lượng (hộ)</w:t>
            </w:r>
          </w:p>
        </w:tc>
        <w:tc>
          <w:tcPr>
            <w:tcW w:w="1729" w:type="pct"/>
            <w:tcBorders>
              <w:top w:val="single" w:sz="12" w:space="0" w:color="auto"/>
              <w:bottom w:val="single" w:sz="4" w:space="0" w:color="auto"/>
            </w:tcBorders>
            <w:shd w:val="clear" w:color="auto" w:fill="auto"/>
            <w:noWrap/>
            <w:vAlign w:val="center"/>
          </w:tcPr>
          <w:p w:rsidR="00725888" w:rsidRPr="00FD7D81" w:rsidRDefault="00BC4D44" w:rsidP="00BC4D44">
            <w:pPr>
              <w:spacing w:after="0" w:line="240" w:lineRule="auto"/>
              <w:jc w:val="center"/>
              <w:rPr>
                <w:rFonts w:ascii="Palatino Linotype" w:eastAsia="Times New Roman" w:hAnsi="Palatino Linotype"/>
                <w:b/>
                <w:bCs/>
                <w:szCs w:val="24"/>
                <w:lang w:eastAsia="vi-VN"/>
              </w:rPr>
            </w:pPr>
            <w:r w:rsidRPr="00E71B01">
              <w:rPr>
                <w:rFonts w:ascii="Palatino Linotype" w:hAnsi="Palatino Linotype"/>
                <w:b/>
              </w:rPr>
              <w:t>Tỷ lệ (%)</w:t>
            </w:r>
          </w:p>
        </w:tc>
      </w:tr>
      <w:tr w:rsidR="00725888" w:rsidRPr="00FD7D81" w:rsidTr="00725888">
        <w:trPr>
          <w:trHeight w:val="244"/>
          <w:jc w:val="center"/>
        </w:trPr>
        <w:tc>
          <w:tcPr>
            <w:tcW w:w="2127" w:type="pct"/>
            <w:tcBorders>
              <w:top w:val="single" w:sz="4"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eastAsia="vi-VN"/>
              </w:rPr>
            </w:pPr>
            <w:r w:rsidRPr="00BC4D44">
              <w:rPr>
                <w:rFonts w:ascii="Palatino Linotype" w:eastAsia="Times New Roman" w:hAnsi="Palatino Linotype"/>
                <w:color w:val="000000"/>
                <w:szCs w:val="24"/>
                <w:lang w:eastAsia="vi-VN"/>
              </w:rPr>
              <w:t>Hộ có nhà ở</w:t>
            </w:r>
          </w:p>
        </w:tc>
        <w:tc>
          <w:tcPr>
            <w:tcW w:w="1144" w:type="pct"/>
            <w:tcBorders>
              <w:top w:val="single" w:sz="4"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161</w:t>
            </w:r>
          </w:p>
        </w:tc>
        <w:tc>
          <w:tcPr>
            <w:tcW w:w="1729" w:type="pct"/>
            <w:tcBorders>
              <w:top w:val="single" w:sz="4"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88,0</w:t>
            </w:r>
          </w:p>
        </w:tc>
      </w:tr>
      <w:tr w:rsidR="00725888" w:rsidRPr="00FD7D81" w:rsidTr="00725888">
        <w:trPr>
          <w:trHeight w:val="237"/>
          <w:jc w:val="center"/>
        </w:trPr>
        <w:tc>
          <w:tcPr>
            <w:tcW w:w="2127" w:type="pct"/>
            <w:tcBorders>
              <w:top w:val="nil"/>
              <w:bottom w:val="single" w:sz="12"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eastAsia="vi-VN"/>
              </w:rPr>
            </w:pPr>
            <w:r w:rsidRPr="00BC4D44">
              <w:rPr>
                <w:rFonts w:ascii="Palatino Linotype" w:eastAsia="Times New Roman" w:hAnsi="Palatino Linotype"/>
                <w:color w:val="000000"/>
                <w:szCs w:val="24"/>
                <w:lang w:eastAsia="vi-VN"/>
              </w:rPr>
              <w:t>Hộ ở chung nhà với hộ khác</w:t>
            </w:r>
          </w:p>
        </w:tc>
        <w:tc>
          <w:tcPr>
            <w:tcW w:w="1144" w:type="pct"/>
            <w:tcBorders>
              <w:top w:val="nil"/>
              <w:bottom w:val="single" w:sz="12"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22</w:t>
            </w:r>
          </w:p>
        </w:tc>
        <w:tc>
          <w:tcPr>
            <w:tcW w:w="1729" w:type="pct"/>
            <w:tcBorders>
              <w:top w:val="nil"/>
              <w:bottom w:val="single" w:sz="12" w:space="0" w:color="auto"/>
            </w:tcBorders>
            <w:shd w:val="clear" w:color="auto" w:fill="auto"/>
          </w:tcPr>
          <w:p w:rsidR="00725888" w:rsidRPr="00FD7D81" w:rsidRDefault="00BC4D44" w:rsidP="0051025E">
            <w:pPr>
              <w:spacing w:after="0" w:line="240" w:lineRule="auto"/>
              <w:jc w:val="center"/>
              <w:rPr>
                <w:rFonts w:ascii="Palatino Linotype" w:eastAsia="Times New Roman" w:hAnsi="Palatino Linotype"/>
                <w:color w:val="000000"/>
                <w:szCs w:val="24"/>
                <w:lang w:val="vi-VN" w:eastAsia="vi-VN"/>
              </w:rPr>
            </w:pPr>
            <w:r>
              <w:rPr>
                <w:rFonts w:ascii="Palatino Linotype" w:eastAsia="Times New Roman" w:hAnsi="Palatino Linotype"/>
                <w:color w:val="000000"/>
                <w:szCs w:val="24"/>
                <w:lang w:eastAsia="vi-VN"/>
              </w:rPr>
              <w:t>12,0</w:t>
            </w:r>
          </w:p>
        </w:tc>
      </w:tr>
    </w:tbl>
    <w:p w:rsidR="0059014E" w:rsidRPr="0059014E" w:rsidRDefault="0059014E" w:rsidP="0059014E">
      <w:pPr>
        <w:spacing w:before="120" w:after="0" w:line="320" w:lineRule="atLeast"/>
        <w:ind w:firstLine="567"/>
        <w:jc w:val="right"/>
        <w:rPr>
          <w:rFonts w:ascii="Palatino Linotype" w:hAnsi="Palatino Linotype"/>
          <w:spacing w:val="-2"/>
          <w:sz w:val="20"/>
          <w:szCs w:val="20"/>
        </w:rPr>
      </w:pPr>
      <w:r w:rsidRPr="0059014E">
        <w:rPr>
          <w:rFonts w:ascii="Palatino Linotype" w:hAnsi="Palatino Linotype"/>
          <w:spacing w:val="-2"/>
          <w:sz w:val="20"/>
          <w:szCs w:val="20"/>
        </w:rPr>
        <w:t>(Nguồn: Điều tra thực tế, 2017)</w:t>
      </w:r>
    </w:p>
    <w:p w:rsidR="004E46F6" w:rsidRDefault="00C91F4C" w:rsidP="004E46F6">
      <w:pPr>
        <w:spacing w:before="120" w:after="0" w:line="320" w:lineRule="atLeast"/>
        <w:ind w:firstLine="567"/>
        <w:jc w:val="both"/>
        <w:rPr>
          <w:rFonts w:ascii="Palatino Linotype" w:hAnsi="Palatino Linotype"/>
          <w:spacing w:val="-2"/>
        </w:rPr>
      </w:pPr>
      <w:r w:rsidRPr="00E71B01">
        <w:rPr>
          <w:rFonts w:ascii="Palatino Linotype" w:hAnsi="Palatino Linotype"/>
          <w:spacing w:val="-2"/>
        </w:rPr>
        <w:t xml:space="preserve">Một trong những khó khăn lớn nhất của người dân tại đây là chưa trả hết tiền cấp nhà. Tại thời điểm khảo sát, các hộ gia đình chỉ còn hơn </w:t>
      </w:r>
      <w:r w:rsidR="00967B65" w:rsidRPr="00E71B01">
        <w:rPr>
          <w:rFonts w:ascii="Palatino Linotype" w:hAnsi="Palatino Linotype"/>
          <w:spacing w:val="-2"/>
        </w:rPr>
        <w:t>vài</w:t>
      </w:r>
      <w:r w:rsidRPr="00E71B01">
        <w:rPr>
          <w:rFonts w:ascii="Palatino Linotype" w:hAnsi="Palatino Linotype"/>
          <w:spacing w:val="-2"/>
        </w:rPr>
        <w:t xml:space="preserve"> năm nữa là phải trả hết tiền mua nhà nhưng hầu hết đều chưa có điều kiện để chi trả</w:t>
      </w:r>
      <w:r w:rsidR="00305629">
        <w:rPr>
          <w:rFonts w:ascii="Palatino Linotype" w:hAnsi="Palatino Linotype"/>
          <w:spacing w:val="-2"/>
        </w:rPr>
        <w:t xml:space="preserve">. </w:t>
      </w:r>
      <w:r w:rsidRPr="00E71B01">
        <w:rPr>
          <w:rFonts w:ascii="Palatino Linotype" w:hAnsi="Palatino Linotype"/>
          <w:spacing w:val="-2"/>
        </w:rPr>
        <w:t>Hơn nữa, do chưa trả hết tiền mua nhà cho nên các hộ gia đình ở đây chưa được cấp thẻ đỏ, do đó họ chưa có quyền sở hữu ngôi nhà mà mình đang ở. Vì chưa có quyền sở hữu nhà ở nên việc muốn cải tạo hay sửa sang căn nhà đều không đượ</w:t>
      </w:r>
      <w:r w:rsidR="004E46F6">
        <w:rPr>
          <w:rFonts w:ascii="Palatino Linotype" w:hAnsi="Palatino Linotype"/>
          <w:spacing w:val="-2"/>
        </w:rPr>
        <w:t>c phép</w:t>
      </w:r>
      <w:r w:rsidR="00C73C85">
        <w:rPr>
          <w:rFonts w:ascii="Palatino Linotype" w:hAnsi="Palatino Linotype"/>
          <w:spacing w:val="-2"/>
        </w:rPr>
        <w:t>.</w:t>
      </w:r>
    </w:p>
    <w:p w:rsidR="00C91F4C" w:rsidRPr="004E46F6" w:rsidRDefault="00074E39" w:rsidP="004E46F6">
      <w:pPr>
        <w:spacing w:before="120" w:after="0" w:line="320" w:lineRule="atLeast"/>
        <w:ind w:firstLine="567"/>
        <w:jc w:val="both"/>
        <w:rPr>
          <w:rFonts w:ascii="Palatino Linotype" w:hAnsi="Palatino Linotype"/>
          <w:spacing w:val="-2"/>
        </w:rPr>
      </w:pPr>
      <w:r w:rsidRPr="00E71B01">
        <w:rPr>
          <w:rFonts w:ascii="Palatino Linotype" w:hAnsi="Palatino Linotype"/>
          <w:b/>
          <w:i/>
        </w:rPr>
        <w:t>2</w:t>
      </w:r>
      <w:r w:rsidR="0075099E" w:rsidRPr="00E71B01">
        <w:rPr>
          <w:rFonts w:ascii="Palatino Linotype" w:hAnsi="Palatino Linotype"/>
          <w:b/>
          <w:i/>
        </w:rPr>
        <w:t>.2. Ti</w:t>
      </w:r>
      <w:r w:rsidR="00C91F4C" w:rsidRPr="00E71B01">
        <w:rPr>
          <w:rFonts w:ascii="Palatino Linotype" w:hAnsi="Palatino Linotype"/>
          <w:b/>
          <w:i/>
        </w:rPr>
        <w:t>ếp cận giáo dục</w:t>
      </w:r>
    </w:p>
    <w:p w:rsidR="00C91F4C" w:rsidRPr="00E71B01" w:rsidRDefault="00C91F4C" w:rsidP="009360EF">
      <w:pPr>
        <w:spacing w:before="120" w:after="0" w:line="320" w:lineRule="atLeast"/>
        <w:ind w:firstLine="567"/>
        <w:jc w:val="both"/>
        <w:rPr>
          <w:rFonts w:ascii="Palatino Linotype" w:hAnsi="Palatino Linotype"/>
          <w:bCs/>
          <w:shd w:val="clear" w:color="auto" w:fill="FFFFFF"/>
        </w:rPr>
      </w:pPr>
      <w:r w:rsidRPr="00E71B01">
        <w:rPr>
          <w:rFonts w:ascii="Palatino Linotype" w:hAnsi="Palatino Linotype"/>
          <w:spacing w:val="-2"/>
          <w:shd w:val="clear" w:color="auto" w:fill="FFFFFF"/>
        </w:rPr>
        <w:t xml:space="preserve">Nhận thấy việc nâng cao dân trí cho nhóm cư dân thủy diện là điều vô cùng quan trọng nên sau khi ổn định chỗ ở, nhà nước và chính quyền địa phương, cũng như nhiều tổ chức và cá nhân đã chung tay hỗ trợ cho các em ở đây được đến trường, hoàn thiện các hoạt động hậu tái định cư. Các chính sách như miễn/giảm học phí cho con em hộ nghèo; hỗ trợ sách vở/đồ dùng học tập/tiền ăn cho trẻ em vạn đò, trợ cấp một phần học </w:t>
      </w:r>
      <w:r w:rsidRPr="00E71B01">
        <w:rPr>
          <w:rFonts w:ascii="Palatino Linotype" w:hAnsi="Palatino Linotype"/>
          <w:spacing w:val="-2"/>
          <w:shd w:val="clear" w:color="auto" w:fill="FFFFFF"/>
        </w:rPr>
        <w:lastRenderedPageBreak/>
        <w:t>phí…đã thực sự khuyến khích và hỗ trợ cho các em tiếp tục đến trường.</w:t>
      </w:r>
      <w:r w:rsidRPr="00E71B01">
        <w:rPr>
          <w:rFonts w:ascii="Palatino Linotype" w:hAnsi="Palatino Linotype"/>
          <w:bCs/>
          <w:shd w:val="clear" w:color="auto" w:fill="FFFFFF"/>
        </w:rPr>
        <w:t xml:space="preserve"> Tuy nhiên, vẫn chỉ có một bộ phận nhỏ hộ gia đình được tiếp cận đế</w:t>
      </w:r>
      <w:r w:rsidR="00312CC4">
        <w:rPr>
          <w:rFonts w:ascii="Palatino Linotype" w:hAnsi="Palatino Linotype"/>
          <w:bCs/>
          <w:shd w:val="clear" w:color="auto" w:fill="FFFFFF"/>
        </w:rPr>
        <w:t>n các chương trình này. Điều này</w:t>
      </w:r>
      <w:r w:rsidRPr="00E71B01">
        <w:rPr>
          <w:rFonts w:ascii="Palatino Linotype" w:hAnsi="Palatino Linotype"/>
          <w:bCs/>
          <w:shd w:val="clear" w:color="auto" w:fill="FFFFFF"/>
        </w:rPr>
        <w:t xml:space="preserve"> thể hiện ở biểu đồ</w:t>
      </w:r>
      <w:r w:rsidR="00312CC4">
        <w:rPr>
          <w:rFonts w:ascii="Palatino Linotype" w:hAnsi="Palatino Linotype"/>
          <w:bCs/>
          <w:shd w:val="clear" w:color="auto" w:fill="FFFFFF"/>
        </w:rPr>
        <w:t xml:space="preserve"> </w:t>
      </w:r>
      <w:r w:rsidR="009B1FB0">
        <w:rPr>
          <w:rFonts w:ascii="Palatino Linotype" w:hAnsi="Palatino Linotype"/>
          <w:bCs/>
          <w:shd w:val="clear" w:color="auto" w:fill="FFFFFF"/>
        </w:rPr>
        <w:t>3</w:t>
      </w:r>
    </w:p>
    <w:p w:rsidR="00747888" w:rsidRDefault="00C91F4C" w:rsidP="00747888">
      <w:pPr>
        <w:spacing w:before="120" w:after="0" w:line="320" w:lineRule="atLeast"/>
        <w:ind w:firstLine="567"/>
        <w:jc w:val="both"/>
        <w:rPr>
          <w:rFonts w:ascii="Palatino Linotype" w:hAnsi="Palatino Linotype"/>
          <w:spacing w:val="-2"/>
          <w:shd w:val="clear" w:color="auto" w:fill="FFFFFF"/>
        </w:rPr>
      </w:pPr>
      <w:r w:rsidRPr="00E71B01">
        <w:rPr>
          <w:rFonts w:ascii="Palatino Linotype" w:hAnsi="Palatino Linotype"/>
          <w:noProof/>
          <w:shd w:val="clear" w:color="auto" w:fill="FFFFFF"/>
        </w:rPr>
        <w:drawing>
          <wp:inline distT="0" distB="0" distL="0" distR="0" wp14:anchorId="6FC403CB" wp14:editId="4DD265BA">
            <wp:extent cx="4725346" cy="1630018"/>
            <wp:effectExtent l="0" t="0" r="18415" b="2794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1F4C" w:rsidRDefault="009B1FB0" w:rsidP="00BE6D77">
      <w:pPr>
        <w:spacing w:after="0" w:line="320" w:lineRule="atLeast"/>
        <w:ind w:firstLine="567"/>
        <w:jc w:val="center"/>
        <w:rPr>
          <w:rFonts w:ascii="Palatino Linotype" w:hAnsi="Palatino Linotype"/>
          <w:sz w:val="20"/>
          <w:szCs w:val="20"/>
        </w:rPr>
      </w:pPr>
      <w:r w:rsidRPr="009B1FB0">
        <w:rPr>
          <w:rFonts w:ascii="Palatino Linotype" w:hAnsi="Palatino Linotype"/>
          <w:b/>
          <w:i/>
          <w:sz w:val="20"/>
          <w:szCs w:val="20"/>
        </w:rPr>
        <w:t>Hình 3</w:t>
      </w:r>
      <w:r w:rsidRPr="009B1FB0">
        <w:rPr>
          <w:rFonts w:ascii="Palatino Linotype" w:hAnsi="Palatino Linotype"/>
          <w:sz w:val="20"/>
          <w:szCs w:val="20"/>
        </w:rPr>
        <w:t>. Tỷ lệ hộ gia đình nhận được hỗ trợ về giáo dục</w:t>
      </w:r>
    </w:p>
    <w:p w:rsidR="00BE6D77" w:rsidRPr="00BE6D77" w:rsidRDefault="00BE6D77" w:rsidP="00BE6D77">
      <w:pPr>
        <w:spacing w:after="0" w:line="320" w:lineRule="atLeast"/>
        <w:ind w:firstLine="567"/>
        <w:jc w:val="right"/>
        <w:rPr>
          <w:rFonts w:ascii="Palatino Linotype" w:hAnsi="Palatino Linotype"/>
          <w:spacing w:val="-2"/>
          <w:sz w:val="20"/>
          <w:szCs w:val="20"/>
          <w:shd w:val="clear" w:color="auto" w:fill="FFFFFF"/>
        </w:rPr>
      </w:pPr>
      <w:r w:rsidRPr="00BE6D77">
        <w:rPr>
          <w:rFonts w:ascii="Palatino Linotype" w:hAnsi="Palatino Linotype"/>
          <w:spacing w:val="-2"/>
          <w:sz w:val="20"/>
          <w:szCs w:val="20"/>
          <w:shd w:val="clear" w:color="auto" w:fill="FFFFFF"/>
        </w:rPr>
        <w:t>(Nguồn: Điều tra thực tế, 2017)</w:t>
      </w:r>
    </w:p>
    <w:p w:rsidR="00C91F4C" w:rsidRPr="00FB6371" w:rsidRDefault="00312CC4" w:rsidP="00AC764C">
      <w:pPr>
        <w:spacing w:before="120" w:after="0" w:line="320" w:lineRule="atLeast"/>
        <w:ind w:firstLine="567"/>
        <w:jc w:val="both"/>
        <w:rPr>
          <w:rFonts w:ascii="Palatino Linotype" w:hAnsi="Palatino Linotype"/>
          <w:spacing w:val="-2"/>
          <w:shd w:val="clear" w:color="auto" w:fill="FFFFFF"/>
        </w:rPr>
      </w:pPr>
      <w:r>
        <w:rPr>
          <w:rFonts w:ascii="Palatino Linotype" w:hAnsi="Palatino Linotype"/>
          <w:spacing w:val="-2"/>
          <w:shd w:val="clear" w:color="auto" w:fill="FFFFFF"/>
        </w:rPr>
        <w:t xml:space="preserve">Tình </w:t>
      </w:r>
      <w:r w:rsidR="00C91F4C" w:rsidRPr="00E71B01">
        <w:rPr>
          <w:rFonts w:ascii="Palatino Linotype" w:hAnsi="Palatino Linotype"/>
          <w:spacing w:val="-2"/>
          <w:shd w:val="clear" w:color="auto" w:fill="FFFFFF"/>
        </w:rPr>
        <w:t>trạng bỏ học giữa chừng của học sinh vẫn rất phổ biến, diễn ra ở cả 3 cấp, từ tiểu học cho đến trung học phổ thông. Các nguyên nhân chủ yếu được ghi nhận là</w:t>
      </w:r>
      <w:r w:rsidR="0094190A">
        <w:rPr>
          <w:rFonts w:ascii="Palatino Linotype" w:hAnsi="Palatino Linotype"/>
          <w:spacing w:val="-2"/>
          <w:shd w:val="clear" w:color="auto" w:fill="FFFFFF"/>
        </w:rPr>
        <w:t xml:space="preserve"> do: K</w:t>
      </w:r>
      <w:r w:rsidR="00C91F4C" w:rsidRPr="00E71B01">
        <w:rPr>
          <w:rFonts w:ascii="Palatino Linotype" w:hAnsi="Palatino Linotype"/>
          <w:spacing w:val="-2"/>
          <w:shd w:val="clear" w:color="auto" w:fill="FFFFFF"/>
        </w:rPr>
        <w:t>hông có tiền nộp học phí (50,3%), không có người lao động (13,1%), không thích đi học 9,3%, hộ không còn người đi học (27,3%)</w:t>
      </w:r>
      <w:r w:rsidR="00C91F4C" w:rsidRPr="00E71B01">
        <w:rPr>
          <w:rFonts w:ascii="Palatino Linotype" w:hAnsi="Palatino Linotype"/>
          <w:spacing w:val="-2"/>
          <w:shd w:val="clear" w:color="auto" w:fill="FFFFFF"/>
          <w:vertAlign w:val="superscript"/>
        </w:rPr>
        <w:footnoteReference w:id="1"/>
      </w:r>
      <w:r w:rsidR="00FB6371">
        <w:rPr>
          <w:rFonts w:ascii="Palatino Linotype" w:hAnsi="Palatino Linotype"/>
          <w:spacing w:val="-2"/>
          <w:shd w:val="clear" w:color="auto" w:fill="FFFFFF"/>
        </w:rPr>
        <w:t xml:space="preserve">. </w:t>
      </w:r>
      <w:r w:rsidR="00C91F4C" w:rsidRPr="00E71B01">
        <w:rPr>
          <w:rFonts w:ascii="Palatino Linotype" w:hAnsi="Palatino Linotype"/>
          <w:spacing w:val="-4"/>
          <w:shd w:val="clear" w:color="auto" w:fill="FFFFFF"/>
        </w:rPr>
        <w:t>Có thể thấy rõ rào cản lớn nhất khiến người dân thủy diện tái định cư khó tiếp cận các cơ hội giáo dục là tình trạng nghèo đói và trình độ học vấn thấp. Vòng luẩn quẩn giữa việc nghèo đói - thất học – thất nghiệp không chỉ làm hạn chế cơ hội hòa nhập của cư dân mà còn ảnh hưởng tới sự phát triển của địa phương và xã hội.</w:t>
      </w:r>
    </w:p>
    <w:p w:rsidR="00C91F4C" w:rsidRPr="00E71B01" w:rsidRDefault="00090460" w:rsidP="00AC764C">
      <w:pPr>
        <w:spacing w:before="120" w:after="0" w:line="320" w:lineRule="atLeast"/>
        <w:jc w:val="both"/>
        <w:rPr>
          <w:rFonts w:ascii="Palatino Linotype" w:hAnsi="Palatino Linotype"/>
          <w:b/>
          <w:i/>
          <w:spacing w:val="-4"/>
          <w:shd w:val="clear" w:color="auto" w:fill="FFFFFF"/>
        </w:rPr>
      </w:pPr>
      <w:r w:rsidRPr="00E71B01">
        <w:rPr>
          <w:rFonts w:ascii="Palatino Linotype" w:hAnsi="Palatino Linotype"/>
          <w:b/>
          <w:i/>
          <w:spacing w:val="-4"/>
          <w:shd w:val="clear" w:color="auto" w:fill="FFFFFF"/>
        </w:rPr>
        <w:t>2.3. T</w:t>
      </w:r>
      <w:r w:rsidR="00C91F4C" w:rsidRPr="00E71B01">
        <w:rPr>
          <w:rFonts w:ascii="Palatino Linotype" w:hAnsi="Palatino Linotype"/>
          <w:b/>
          <w:i/>
          <w:spacing w:val="-4"/>
          <w:shd w:val="clear" w:color="auto" w:fill="FFFFFF"/>
        </w:rPr>
        <w:t>iếp cận y tế</w:t>
      </w:r>
    </w:p>
    <w:p w:rsidR="00C91F4C" w:rsidRPr="00E71B01" w:rsidRDefault="00C91F4C" w:rsidP="00AC764C">
      <w:pPr>
        <w:spacing w:before="120" w:after="0" w:line="320" w:lineRule="atLeast"/>
        <w:ind w:firstLine="567"/>
        <w:jc w:val="both"/>
        <w:rPr>
          <w:rFonts w:ascii="Palatino Linotype" w:hAnsi="Palatino Linotype"/>
          <w:spacing w:val="-2"/>
        </w:rPr>
      </w:pPr>
      <w:r w:rsidRPr="00E71B01">
        <w:rPr>
          <w:rFonts w:ascii="Palatino Linotype" w:hAnsi="Palatino Linotype"/>
          <w:b/>
        </w:rPr>
        <w:tab/>
      </w:r>
      <w:r w:rsidR="00604070">
        <w:rPr>
          <w:rFonts w:ascii="Palatino Linotype" w:hAnsi="Palatino Linotype"/>
          <w:spacing w:val="-2"/>
        </w:rPr>
        <w:t>Tại địa bàn, chính quyền</w:t>
      </w:r>
      <w:r w:rsidRPr="00E71B01">
        <w:rPr>
          <w:rFonts w:ascii="Palatino Linotype" w:hAnsi="Palatino Linotype"/>
          <w:spacing w:val="-2"/>
        </w:rPr>
        <w:t xml:space="preserve"> địa phương triển khai </w:t>
      </w:r>
      <w:r w:rsidR="00604070">
        <w:rPr>
          <w:rFonts w:ascii="Palatino Linotype" w:hAnsi="Palatino Linotype"/>
          <w:spacing w:val="-2"/>
        </w:rPr>
        <w:t>nhiều</w:t>
      </w:r>
      <w:r w:rsidRPr="00E71B01">
        <w:rPr>
          <w:rFonts w:ascii="Palatino Linotype" w:hAnsi="Palatino Linotype"/>
          <w:spacing w:val="-2"/>
        </w:rPr>
        <w:t xml:space="preserve"> chính sách đảm bảo khả năng tiếp cận các dịch vụ y tế </w:t>
      </w:r>
      <w:r w:rsidR="00604070">
        <w:rPr>
          <w:rFonts w:ascii="Palatino Linotype" w:hAnsi="Palatino Linotype"/>
          <w:spacing w:val="-2"/>
        </w:rPr>
        <w:t>cho người dân</w:t>
      </w:r>
      <w:r w:rsidRPr="00E71B01">
        <w:rPr>
          <w:rFonts w:ascii="Palatino Linotype" w:hAnsi="Palatino Linotype"/>
          <w:spacing w:val="-2"/>
        </w:rPr>
        <w:t xml:space="preserve">, </w:t>
      </w:r>
      <w:r w:rsidR="00604070">
        <w:rPr>
          <w:rFonts w:ascii="Palatino Linotype" w:hAnsi="Palatino Linotype"/>
          <w:spacing w:val="-2"/>
        </w:rPr>
        <w:t>một số người dân thủy diện</w:t>
      </w:r>
      <w:r w:rsidRPr="00E71B01">
        <w:rPr>
          <w:rFonts w:ascii="Palatino Linotype" w:hAnsi="Palatino Linotype"/>
          <w:spacing w:val="-2"/>
        </w:rPr>
        <w:t xml:space="preserve"> đã sử dụng thẻ bảo hiểm y tế, địa phương cũng đã tổ chức nhiều lớp tập huấn tuyên truyền về chính sách kế hoạch hóa gia đình, khám chữa bệnh miễ</w:t>
      </w:r>
      <w:r w:rsidR="00CA2F03">
        <w:rPr>
          <w:rFonts w:ascii="Palatino Linotype" w:hAnsi="Palatino Linotype"/>
          <w:spacing w:val="-2"/>
        </w:rPr>
        <w:t>n phí. Dù vậy</w:t>
      </w:r>
      <w:r w:rsidRPr="00E71B01">
        <w:rPr>
          <w:rFonts w:ascii="Palatino Linotype" w:hAnsi="Palatino Linotype"/>
          <w:spacing w:val="-2"/>
        </w:rPr>
        <w:t xml:space="preserve">, vấn đề sử dụng các dịch vụ y tế của </w:t>
      </w:r>
      <w:r w:rsidR="001A43B3">
        <w:rPr>
          <w:rFonts w:ascii="Palatino Linotype" w:hAnsi="Palatino Linotype"/>
          <w:spacing w:val="-2"/>
        </w:rPr>
        <w:t>cư dân vạn đò</w:t>
      </w:r>
      <w:r w:rsidRPr="00E71B01">
        <w:rPr>
          <w:rFonts w:ascii="Palatino Linotype" w:hAnsi="Palatino Linotype"/>
          <w:spacing w:val="-2"/>
        </w:rPr>
        <w:t xml:space="preserve"> vẫn gặp không ít rào cản. </w:t>
      </w:r>
      <w:r w:rsidR="001A43B3">
        <w:rPr>
          <w:rFonts w:ascii="Palatino Linotype" w:hAnsi="Palatino Linotype"/>
          <w:spacing w:val="-2"/>
        </w:rPr>
        <w:t>N</w:t>
      </w:r>
      <w:r w:rsidRPr="00E71B01">
        <w:rPr>
          <w:rFonts w:ascii="Palatino Linotype" w:hAnsi="Palatino Linotype"/>
          <w:spacing w:val="-2"/>
        </w:rPr>
        <w:t xml:space="preserve">hu cầu khám chữa bệnh của họ thường cao hơn các đối tượng khác nhưng khả năng sử dụng các dịch vụ y tế lại thấp hơn. Đánh giá việc tiếp cận y tế của cư dân vạn đò được nhóm nghiên cứu nhìn nhận qua các khía cạnh dưới đây: </w:t>
      </w:r>
    </w:p>
    <w:p w:rsidR="00C91F4C" w:rsidRPr="00655197" w:rsidRDefault="00C91F4C" w:rsidP="00AC764C">
      <w:pPr>
        <w:spacing w:before="120" w:after="0" w:line="320" w:lineRule="atLeast"/>
        <w:ind w:firstLine="567"/>
        <w:jc w:val="both"/>
        <w:rPr>
          <w:rFonts w:ascii="Palatino Linotype" w:hAnsi="Palatino Linotype"/>
          <w:b/>
          <w:spacing w:val="-2"/>
        </w:rPr>
      </w:pPr>
      <w:r w:rsidRPr="00E71B01">
        <w:rPr>
          <w:rFonts w:ascii="Palatino Linotype" w:hAnsi="Palatino Linotype"/>
          <w:b/>
          <w:bCs/>
          <w:i/>
          <w:iCs/>
          <w:spacing w:val="-2"/>
        </w:rPr>
        <w:tab/>
        <w:t>Thứ nhất,</w:t>
      </w:r>
      <w:r w:rsidRPr="00E71B01">
        <w:rPr>
          <w:rFonts w:ascii="Palatino Linotype" w:hAnsi="Palatino Linotype"/>
          <w:spacing w:val="-2"/>
        </w:rPr>
        <w:t xml:space="preserve"> </w:t>
      </w:r>
      <w:r w:rsidRPr="00655197">
        <w:rPr>
          <w:rFonts w:ascii="Palatino Linotype" w:hAnsi="Palatino Linotype"/>
          <w:b/>
          <w:i/>
          <w:spacing w:val="-2"/>
        </w:rPr>
        <w:t xml:space="preserve">tỷ lệ hộ gia đình tìm đến cơ sở y tế để khám/chữa bệnh còn thấp </w:t>
      </w:r>
    </w:p>
    <w:p w:rsidR="00F02A35" w:rsidRDefault="00C91F4C" w:rsidP="00AC764C">
      <w:pPr>
        <w:spacing w:before="120" w:after="0" w:line="320" w:lineRule="atLeast"/>
        <w:ind w:firstLine="567"/>
        <w:jc w:val="both"/>
        <w:rPr>
          <w:rFonts w:ascii="Palatino Linotype" w:hAnsi="Palatino Linotype"/>
          <w:spacing w:val="-4"/>
        </w:rPr>
      </w:pPr>
      <w:r w:rsidRPr="00E71B01">
        <w:rPr>
          <w:rFonts w:ascii="Palatino Linotype" w:hAnsi="Palatino Linotype"/>
          <w:spacing w:val="-2"/>
        </w:rPr>
        <w:tab/>
        <w:t xml:space="preserve">Nhiều người có bệnh nhưng không đi chữa là thực tế phổ biến của cư dân thủy diện tại địa bàn nghiên cứu. </w:t>
      </w:r>
      <w:r w:rsidRPr="00E71B01">
        <w:rPr>
          <w:rFonts w:ascii="Palatino Linotype" w:hAnsi="Palatino Linotype"/>
          <w:spacing w:val="-4"/>
        </w:rPr>
        <w:t>Các nguyên nhân ghi nhận đượ</w:t>
      </w:r>
      <w:r w:rsidR="00F02A35">
        <w:rPr>
          <w:rFonts w:ascii="Palatino Linotype" w:hAnsi="Palatino Linotype"/>
          <w:spacing w:val="-4"/>
        </w:rPr>
        <w:t>c thể hiện ở bả</w:t>
      </w:r>
      <w:r w:rsidR="00BB0EEC">
        <w:rPr>
          <w:rFonts w:ascii="Palatino Linotype" w:hAnsi="Palatino Linotype"/>
          <w:spacing w:val="-4"/>
        </w:rPr>
        <w:t xml:space="preserve">ng </w:t>
      </w:r>
      <w:r w:rsidR="00F02A35">
        <w:rPr>
          <w:rFonts w:ascii="Palatino Linotype" w:hAnsi="Palatino Linotype"/>
          <w:spacing w:val="-4"/>
        </w:rPr>
        <w:t>3 dưới đây</w:t>
      </w:r>
    </w:p>
    <w:p w:rsidR="00BB0EEC" w:rsidRPr="00BB0EEC" w:rsidRDefault="00BB0EEC" w:rsidP="00BB0EEC">
      <w:pPr>
        <w:spacing w:before="120" w:after="120" w:line="320" w:lineRule="atLeast"/>
        <w:ind w:firstLine="567"/>
        <w:jc w:val="center"/>
        <w:rPr>
          <w:rFonts w:ascii="Palatino Linotype" w:hAnsi="Palatino Linotype"/>
          <w:spacing w:val="-4"/>
          <w:sz w:val="20"/>
          <w:szCs w:val="20"/>
        </w:rPr>
      </w:pPr>
      <w:r w:rsidRPr="00BB0EEC">
        <w:rPr>
          <w:rFonts w:ascii="Palatino Linotype" w:hAnsi="Palatino Linotype"/>
          <w:b/>
          <w:i/>
          <w:spacing w:val="-4"/>
          <w:sz w:val="20"/>
          <w:szCs w:val="20"/>
        </w:rPr>
        <w:t>Bảng 3</w:t>
      </w:r>
      <w:r w:rsidRPr="00BB0EEC">
        <w:rPr>
          <w:rFonts w:ascii="Palatino Linotype" w:hAnsi="Palatino Linotype"/>
          <w:i/>
          <w:spacing w:val="-4"/>
          <w:sz w:val="20"/>
          <w:szCs w:val="20"/>
        </w:rPr>
        <w:t xml:space="preserve">. </w:t>
      </w:r>
      <w:r w:rsidRPr="00BB0EEC">
        <w:rPr>
          <w:rFonts w:ascii="Palatino Linotype" w:hAnsi="Palatino Linotype"/>
          <w:spacing w:val="-4"/>
          <w:sz w:val="20"/>
          <w:szCs w:val="20"/>
        </w:rPr>
        <w:t>Nguyên nhân không tới cơ sở y tế khi người nhà bị bệnh</w:t>
      </w:r>
    </w:p>
    <w:tbl>
      <w:tblPr>
        <w:tblW w:w="4098" w:type="pct"/>
        <w:jc w:val="center"/>
        <w:tblInd w:w="-575" w:type="dxa"/>
        <w:tblBorders>
          <w:top w:val="single" w:sz="4" w:space="0" w:color="auto"/>
          <w:bottom w:val="single" w:sz="4" w:space="0" w:color="auto"/>
        </w:tblBorders>
        <w:tblLook w:val="04A0" w:firstRow="1" w:lastRow="0" w:firstColumn="1" w:lastColumn="0" w:noHBand="0" w:noVBand="1"/>
      </w:tblPr>
      <w:tblGrid>
        <w:gridCol w:w="4899"/>
        <w:gridCol w:w="2249"/>
      </w:tblGrid>
      <w:tr w:rsidR="00BB0EEC" w:rsidRPr="00FD7D81" w:rsidTr="00BB0EEC">
        <w:trPr>
          <w:trHeight w:val="237"/>
          <w:jc w:val="center"/>
        </w:trPr>
        <w:tc>
          <w:tcPr>
            <w:tcW w:w="3427" w:type="pct"/>
            <w:tcBorders>
              <w:top w:val="single" w:sz="12" w:space="0" w:color="auto"/>
              <w:bottom w:val="single" w:sz="4" w:space="0" w:color="auto"/>
            </w:tcBorders>
            <w:shd w:val="clear" w:color="auto" w:fill="auto"/>
            <w:noWrap/>
            <w:vAlign w:val="center"/>
          </w:tcPr>
          <w:p w:rsidR="00BB0EEC" w:rsidRPr="00FD7D81" w:rsidRDefault="00BB0EEC" w:rsidP="00BB0EEC">
            <w:pPr>
              <w:spacing w:after="0" w:line="240" w:lineRule="auto"/>
              <w:rPr>
                <w:rFonts w:ascii="Palatino Linotype" w:eastAsia="Times New Roman" w:hAnsi="Palatino Linotype"/>
                <w:b/>
                <w:bCs/>
                <w:szCs w:val="24"/>
                <w:lang w:eastAsia="vi-VN"/>
              </w:rPr>
            </w:pPr>
            <w:r w:rsidRPr="00BB0EEC">
              <w:rPr>
                <w:rFonts w:ascii="Palatino Linotype" w:hAnsi="Palatino Linotype"/>
                <w:b/>
              </w:rPr>
              <w:t>Lý do không đi khám chữa bệnh</w:t>
            </w:r>
          </w:p>
        </w:tc>
        <w:tc>
          <w:tcPr>
            <w:tcW w:w="1573" w:type="pct"/>
            <w:tcBorders>
              <w:top w:val="single" w:sz="12" w:space="0" w:color="auto"/>
              <w:bottom w:val="single" w:sz="4" w:space="0" w:color="auto"/>
            </w:tcBorders>
            <w:shd w:val="clear" w:color="auto" w:fill="auto"/>
            <w:noWrap/>
            <w:vAlign w:val="center"/>
          </w:tcPr>
          <w:p w:rsidR="00BB0EEC" w:rsidRPr="00FD7D81" w:rsidRDefault="00BB0EEC" w:rsidP="0051025E">
            <w:pPr>
              <w:spacing w:after="0" w:line="240" w:lineRule="auto"/>
              <w:jc w:val="center"/>
              <w:rPr>
                <w:rFonts w:ascii="Palatino Linotype" w:eastAsia="Times New Roman" w:hAnsi="Palatino Linotype"/>
                <w:b/>
                <w:bCs/>
                <w:szCs w:val="24"/>
                <w:lang w:eastAsia="vi-VN"/>
              </w:rPr>
            </w:pPr>
            <w:r w:rsidRPr="00E71B01">
              <w:rPr>
                <w:rFonts w:ascii="Palatino Linotype" w:hAnsi="Palatino Linotype"/>
                <w:b/>
              </w:rPr>
              <w:t>Tỷ lệ (%)</w:t>
            </w:r>
          </w:p>
        </w:tc>
      </w:tr>
      <w:tr w:rsidR="00BB0EEC" w:rsidRPr="00FD7D81" w:rsidTr="00BB0EEC">
        <w:trPr>
          <w:trHeight w:val="244"/>
          <w:jc w:val="center"/>
        </w:trPr>
        <w:tc>
          <w:tcPr>
            <w:tcW w:w="3427" w:type="pct"/>
            <w:tcBorders>
              <w:top w:val="single" w:sz="4" w:space="0" w:color="auto"/>
            </w:tcBorders>
            <w:shd w:val="clear" w:color="auto" w:fill="auto"/>
          </w:tcPr>
          <w:p w:rsidR="00BB0EEC" w:rsidRPr="00FD7D81" w:rsidRDefault="00BB0EEC" w:rsidP="00BB0EEC">
            <w:pPr>
              <w:spacing w:after="0" w:line="240" w:lineRule="auto"/>
              <w:rPr>
                <w:rFonts w:ascii="Palatino Linotype" w:eastAsia="Times New Roman" w:hAnsi="Palatino Linotype"/>
                <w:color w:val="000000"/>
                <w:szCs w:val="24"/>
                <w:lang w:eastAsia="vi-VN"/>
              </w:rPr>
            </w:pPr>
            <w:r w:rsidRPr="00BB0EEC">
              <w:rPr>
                <w:rFonts w:ascii="Palatino Linotype" w:eastAsia="Times New Roman" w:hAnsi="Palatino Linotype"/>
                <w:color w:val="000000"/>
                <w:szCs w:val="24"/>
                <w:lang w:eastAsia="vi-VN"/>
              </w:rPr>
              <w:lastRenderedPageBreak/>
              <w:t>Kinh tế khó khăn (không có tiền)</w:t>
            </w:r>
          </w:p>
        </w:tc>
        <w:tc>
          <w:tcPr>
            <w:tcW w:w="1573" w:type="pct"/>
            <w:tcBorders>
              <w:top w:val="single" w:sz="4" w:space="0" w:color="auto"/>
            </w:tcBorders>
            <w:shd w:val="clear" w:color="auto" w:fill="auto"/>
          </w:tcPr>
          <w:p w:rsidR="00BB0EEC" w:rsidRPr="00FD7D81" w:rsidRDefault="00BB0EEC"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49</w:t>
            </w:r>
          </w:p>
        </w:tc>
      </w:tr>
      <w:tr w:rsidR="00BB0EEC" w:rsidRPr="00FD7D81" w:rsidTr="00BB0EEC">
        <w:trPr>
          <w:trHeight w:val="237"/>
          <w:jc w:val="center"/>
        </w:trPr>
        <w:tc>
          <w:tcPr>
            <w:tcW w:w="3427" w:type="pct"/>
            <w:tcBorders>
              <w:top w:val="nil"/>
              <w:bottom w:val="nil"/>
            </w:tcBorders>
            <w:shd w:val="clear" w:color="auto" w:fill="auto"/>
          </w:tcPr>
          <w:p w:rsidR="00BB0EEC" w:rsidRDefault="00BB0EEC" w:rsidP="00BB0EEC">
            <w:pPr>
              <w:spacing w:after="0" w:line="240" w:lineRule="auto"/>
              <w:rPr>
                <w:rFonts w:ascii="Palatino Linotype" w:eastAsia="Times New Roman" w:hAnsi="Palatino Linotype"/>
                <w:color w:val="000000"/>
                <w:szCs w:val="24"/>
                <w:lang w:eastAsia="vi-VN"/>
              </w:rPr>
            </w:pPr>
            <w:r w:rsidRPr="00BB0EEC">
              <w:rPr>
                <w:rFonts w:ascii="Palatino Linotype" w:eastAsia="Times New Roman" w:hAnsi="Palatino Linotype"/>
                <w:color w:val="000000"/>
                <w:szCs w:val="24"/>
                <w:lang w:eastAsia="vi-VN"/>
              </w:rPr>
              <w:t>Không có thẻ bảo hiểm y tế</w:t>
            </w:r>
          </w:p>
        </w:tc>
        <w:tc>
          <w:tcPr>
            <w:tcW w:w="1573" w:type="pct"/>
            <w:tcBorders>
              <w:top w:val="nil"/>
              <w:bottom w:val="nil"/>
            </w:tcBorders>
            <w:shd w:val="clear" w:color="auto" w:fill="auto"/>
          </w:tcPr>
          <w:p w:rsidR="00BB0EEC" w:rsidRDefault="00BB0EEC"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31</w:t>
            </w:r>
          </w:p>
        </w:tc>
      </w:tr>
      <w:tr w:rsidR="00BB0EEC" w:rsidRPr="00FD7D81" w:rsidTr="00BB0EEC">
        <w:trPr>
          <w:trHeight w:val="237"/>
          <w:jc w:val="center"/>
        </w:trPr>
        <w:tc>
          <w:tcPr>
            <w:tcW w:w="3427" w:type="pct"/>
            <w:tcBorders>
              <w:top w:val="nil"/>
              <w:bottom w:val="nil"/>
            </w:tcBorders>
            <w:shd w:val="clear" w:color="auto" w:fill="auto"/>
          </w:tcPr>
          <w:p w:rsidR="00BB0EEC" w:rsidRDefault="00BB0EEC" w:rsidP="00BB0EEC">
            <w:pPr>
              <w:spacing w:after="0" w:line="240" w:lineRule="auto"/>
              <w:rPr>
                <w:rFonts w:ascii="Palatino Linotype" w:eastAsia="Times New Roman" w:hAnsi="Palatino Linotype"/>
                <w:color w:val="000000"/>
                <w:szCs w:val="24"/>
                <w:lang w:eastAsia="vi-VN"/>
              </w:rPr>
            </w:pPr>
            <w:r w:rsidRPr="00BB0EEC">
              <w:rPr>
                <w:rFonts w:ascii="Palatino Linotype" w:eastAsia="Times New Roman" w:hAnsi="Palatino Linotype"/>
                <w:color w:val="000000"/>
                <w:szCs w:val="24"/>
                <w:lang w:eastAsia="vi-VN"/>
              </w:rPr>
              <w:t>Bệnh chưa đến mức đi khám</w:t>
            </w:r>
          </w:p>
        </w:tc>
        <w:tc>
          <w:tcPr>
            <w:tcW w:w="1573" w:type="pct"/>
            <w:tcBorders>
              <w:top w:val="nil"/>
              <w:bottom w:val="nil"/>
            </w:tcBorders>
            <w:shd w:val="clear" w:color="auto" w:fill="auto"/>
          </w:tcPr>
          <w:p w:rsidR="00BB0EEC" w:rsidRDefault="00BB0EEC"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15</w:t>
            </w:r>
          </w:p>
        </w:tc>
      </w:tr>
      <w:tr w:rsidR="00BB0EEC" w:rsidRPr="00FD7D81" w:rsidTr="00BB0EEC">
        <w:trPr>
          <w:trHeight w:val="237"/>
          <w:jc w:val="center"/>
        </w:trPr>
        <w:tc>
          <w:tcPr>
            <w:tcW w:w="3427" w:type="pct"/>
            <w:tcBorders>
              <w:top w:val="nil"/>
              <w:bottom w:val="single" w:sz="12" w:space="0" w:color="auto"/>
            </w:tcBorders>
            <w:shd w:val="clear" w:color="auto" w:fill="auto"/>
          </w:tcPr>
          <w:p w:rsidR="00BB0EEC" w:rsidRDefault="00BB0EEC" w:rsidP="00BB0EEC">
            <w:pPr>
              <w:spacing w:after="0" w:line="240" w:lineRule="auto"/>
              <w:rPr>
                <w:rFonts w:ascii="Palatino Linotype" w:eastAsia="Times New Roman" w:hAnsi="Palatino Linotype"/>
                <w:color w:val="000000"/>
                <w:szCs w:val="24"/>
                <w:lang w:eastAsia="vi-VN"/>
              </w:rPr>
            </w:pPr>
            <w:r w:rsidRPr="00BB0EEC">
              <w:rPr>
                <w:rFonts w:ascii="Palatino Linotype" w:eastAsia="Times New Roman" w:hAnsi="Palatino Linotype"/>
                <w:color w:val="000000"/>
                <w:szCs w:val="24"/>
                <w:lang w:eastAsia="vi-VN"/>
              </w:rPr>
              <w:t>Để bệnh tự khỏi</w:t>
            </w:r>
          </w:p>
        </w:tc>
        <w:tc>
          <w:tcPr>
            <w:tcW w:w="1573" w:type="pct"/>
            <w:tcBorders>
              <w:top w:val="nil"/>
              <w:bottom w:val="single" w:sz="12" w:space="0" w:color="auto"/>
            </w:tcBorders>
            <w:shd w:val="clear" w:color="auto" w:fill="auto"/>
          </w:tcPr>
          <w:p w:rsidR="00BB0EEC" w:rsidRDefault="00BB0EEC" w:rsidP="0051025E">
            <w:pPr>
              <w:spacing w:after="0" w:line="240" w:lineRule="auto"/>
              <w:jc w:val="center"/>
              <w:rPr>
                <w:rFonts w:ascii="Palatino Linotype" w:eastAsia="Times New Roman" w:hAnsi="Palatino Linotype"/>
                <w:color w:val="000000"/>
                <w:szCs w:val="24"/>
                <w:lang w:eastAsia="vi-VN"/>
              </w:rPr>
            </w:pPr>
            <w:r>
              <w:rPr>
                <w:rFonts w:ascii="Palatino Linotype" w:eastAsia="Times New Roman" w:hAnsi="Palatino Linotype"/>
                <w:color w:val="000000"/>
                <w:szCs w:val="24"/>
                <w:lang w:eastAsia="vi-VN"/>
              </w:rPr>
              <w:t>5</w:t>
            </w:r>
          </w:p>
        </w:tc>
      </w:tr>
    </w:tbl>
    <w:p w:rsidR="00A32BAD" w:rsidRPr="00A32BAD" w:rsidRDefault="003D3001" w:rsidP="00A32BAD">
      <w:pPr>
        <w:spacing w:after="0" w:line="320" w:lineRule="atLeast"/>
        <w:jc w:val="right"/>
        <w:outlineLvl w:val="4"/>
        <w:rPr>
          <w:rFonts w:ascii="Palatino Linotype" w:hAnsi="Palatino Linotype"/>
          <w:spacing w:val="-4"/>
          <w:sz w:val="20"/>
          <w:szCs w:val="20"/>
        </w:rPr>
      </w:pPr>
      <w:r>
        <w:rPr>
          <w:rFonts w:ascii="Palatino Linotype" w:hAnsi="Palatino Linotype"/>
          <w:spacing w:val="-4"/>
        </w:rPr>
        <w:tab/>
      </w:r>
      <w:r w:rsidR="00A32BAD" w:rsidRPr="00A32BAD">
        <w:rPr>
          <w:rFonts w:ascii="Palatino Linotype" w:hAnsi="Palatino Linotype"/>
          <w:spacing w:val="-4"/>
          <w:sz w:val="20"/>
          <w:szCs w:val="20"/>
        </w:rPr>
        <w:t>(Nguồn: Điều tra thực tế, 2017)</w:t>
      </w:r>
    </w:p>
    <w:p w:rsidR="00C91F4C" w:rsidRPr="00982F55" w:rsidRDefault="00A32BAD" w:rsidP="00AC764C">
      <w:pPr>
        <w:spacing w:before="120" w:after="0" w:line="320" w:lineRule="atLeast"/>
        <w:jc w:val="both"/>
        <w:outlineLvl w:val="4"/>
        <w:rPr>
          <w:rFonts w:ascii="Palatino Linotype" w:hAnsi="Palatino Linotype"/>
          <w:i/>
        </w:rPr>
      </w:pPr>
      <w:r>
        <w:rPr>
          <w:rFonts w:ascii="Palatino Linotype" w:hAnsi="Palatino Linotype"/>
          <w:spacing w:val="-4"/>
        </w:rPr>
        <w:tab/>
      </w:r>
      <w:r w:rsidR="00982F55">
        <w:rPr>
          <w:rFonts w:ascii="Palatino Linotype" w:hAnsi="Palatino Linotype"/>
        </w:rPr>
        <w:t>C</w:t>
      </w:r>
      <w:r w:rsidR="00C91F4C" w:rsidRPr="00E71B01">
        <w:rPr>
          <w:rFonts w:ascii="Palatino Linotype" w:hAnsi="Palatino Linotype"/>
          <w:spacing w:val="-4"/>
        </w:rPr>
        <w:t xml:space="preserve">ó thể thấy rằng, điều kiện kinh tế nghèo nàn </w:t>
      </w:r>
      <w:r w:rsidR="000D4F1E">
        <w:rPr>
          <w:rFonts w:ascii="Palatino Linotype" w:hAnsi="Palatino Linotype"/>
          <w:spacing w:val="-4"/>
        </w:rPr>
        <w:t>là lý do lớn nhất khiến người dân</w:t>
      </w:r>
      <w:r w:rsidR="00C91F4C" w:rsidRPr="00E71B01">
        <w:rPr>
          <w:rFonts w:ascii="Palatino Linotype" w:hAnsi="Palatino Linotype"/>
          <w:spacing w:val="-4"/>
        </w:rPr>
        <w:t xml:space="preserve"> không dám chi cho nhu cầu chăm sóc sức khỏe. Rõ ràng đây là một rào cản lớn hạn chế người nghèo trong cộng đồng cư dân </w:t>
      </w:r>
      <w:r w:rsidR="003D3001">
        <w:rPr>
          <w:rFonts w:ascii="Palatino Linotype" w:hAnsi="Palatino Linotype"/>
          <w:spacing w:val="-4"/>
        </w:rPr>
        <w:t>vạn đò</w:t>
      </w:r>
      <w:r w:rsidR="00C91F4C" w:rsidRPr="00E71B01">
        <w:rPr>
          <w:rFonts w:ascii="Palatino Linotype" w:hAnsi="Palatino Linotype"/>
          <w:spacing w:val="-4"/>
        </w:rPr>
        <w:t xml:space="preserve"> tiếp cận các dịch vụ y tế.</w:t>
      </w:r>
    </w:p>
    <w:p w:rsidR="00C91F4C" w:rsidRPr="00E71B01" w:rsidRDefault="00C91F4C" w:rsidP="00AC764C">
      <w:pPr>
        <w:spacing w:before="120" w:after="0" w:line="320" w:lineRule="atLeast"/>
        <w:ind w:firstLine="567"/>
        <w:jc w:val="both"/>
        <w:rPr>
          <w:rFonts w:ascii="Palatino Linotype" w:hAnsi="Palatino Linotype"/>
          <w:spacing w:val="-2"/>
        </w:rPr>
      </w:pPr>
      <w:r w:rsidRPr="00E71B01">
        <w:rPr>
          <w:rFonts w:ascii="Palatino Linotype" w:hAnsi="Palatino Linotype"/>
          <w:b/>
          <w:bCs/>
          <w:i/>
          <w:iCs/>
          <w:spacing w:val="-2"/>
        </w:rPr>
        <w:t xml:space="preserve">Thứ hai, </w:t>
      </w:r>
      <w:r w:rsidRPr="003E3D57">
        <w:rPr>
          <w:rFonts w:ascii="Palatino Linotype" w:hAnsi="Palatino Linotype"/>
          <w:b/>
          <w:i/>
          <w:spacing w:val="-2"/>
        </w:rPr>
        <w:t xml:space="preserve">sự tham gia bảo hiểm y tế của </w:t>
      </w:r>
      <w:r w:rsidR="00B047C7" w:rsidRPr="003E3D57">
        <w:rPr>
          <w:rFonts w:ascii="Palatino Linotype" w:hAnsi="Palatino Linotype"/>
          <w:b/>
          <w:i/>
          <w:spacing w:val="-2"/>
        </w:rPr>
        <w:t>người dân</w:t>
      </w:r>
    </w:p>
    <w:p w:rsidR="00C91F4C" w:rsidRPr="00E71B01" w:rsidRDefault="00C91F4C" w:rsidP="00AC764C">
      <w:pPr>
        <w:spacing w:before="120" w:after="0" w:line="320" w:lineRule="atLeast"/>
        <w:ind w:firstLine="567"/>
        <w:jc w:val="both"/>
        <w:rPr>
          <w:rFonts w:ascii="Palatino Linotype" w:hAnsi="Palatino Linotype"/>
          <w:spacing w:val="-2"/>
        </w:rPr>
      </w:pPr>
      <w:r w:rsidRPr="00E71B01">
        <w:rPr>
          <w:rFonts w:ascii="Palatino Linotype" w:hAnsi="Palatino Linotype"/>
          <w:spacing w:val="-2"/>
        </w:rPr>
        <w:t xml:space="preserve">Hiện nay, Việt Nam đang trong giai đoạn thực hiện bảo hiểm y tế toàn dân. Tại khu tái định cư Hương Sơ, mặc dù chính quyền địa phương đã rất quan tâm đến việc giảm thiểu tối đa tình trạng những người dân không có khả năng sử dụng dịch vụ y tế, thể hiện ở việc vận động người dân, nhất là cư dân vạn đò mua bảo hiểm y tế. Kết quả của sự nỗ lực đó là đa số hộ gia đình có thành viên trong nhà tham gia bảo hiểm y tế, đặc biệt là ở những gia đình có con cái đang đi học. Tuy nhiên, khi được hỏi </w:t>
      </w:r>
      <w:r w:rsidRPr="00E71B01">
        <w:rPr>
          <w:rFonts w:ascii="Palatino Linotype" w:hAnsi="Palatino Linotype"/>
          <w:i/>
          <w:iCs/>
          <w:spacing w:val="-2"/>
        </w:rPr>
        <w:t>“Bản thân ông/bà có thẻ bảo hiểm y tế không?”</w:t>
      </w:r>
      <w:r w:rsidRPr="00E71B01">
        <w:rPr>
          <w:rFonts w:ascii="Palatino Linotype" w:hAnsi="Palatino Linotype"/>
          <w:spacing w:val="-2"/>
        </w:rPr>
        <w:t xml:space="preserve"> thì đa số các chủ hộ gia đình trả lời </w:t>
      </w:r>
      <w:r w:rsidRPr="00E71B01">
        <w:rPr>
          <w:rFonts w:ascii="Palatino Linotype" w:hAnsi="Palatino Linotype"/>
          <w:i/>
          <w:iCs/>
          <w:spacing w:val="-2"/>
        </w:rPr>
        <w:t>“Không”</w:t>
      </w:r>
      <w:r w:rsidRPr="00E71B01">
        <w:rPr>
          <w:rFonts w:ascii="Palatino Linotype" w:hAnsi="Palatino Linotype"/>
          <w:spacing w:val="-2"/>
        </w:rPr>
        <w:t xml:space="preserve"> bởi bản thân họ mặc dù rất muốn mua bảo hiểm nhưng do không có điều kiện kinh tế nên cũng không thể tham gia. </w:t>
      </w:r>
      <w:r w:rsidR="0012508D">
        <w:rPr>
          <w:rFonts w:ascii="Palatino Linotype" w:hAnsi="Palatino Linotype"/>
          <w:spacing w:val="-2"/>
        </w:rPr>
        <w:t>Đ</w:t>
      </w:r>
      <w:r w:rsidRPr="00E71B01">
        <w:rPr>
          <w:rFonts w:ascii="Palatino Linotype" w:hAnsi="Palatino Linotype"/>
          <w:spacing w:val="-2"/>
        </w:rPr>
        <w:t>áng lo ngại hơn, những người không có điều kiện mua bảo hiểm y tế lại là những người có nhu cầu khám chữa bệnh khá cao. Bởi họ thường là lao động chính trong nhà, phải làm những công việc lao động nặng nhọc hàng ngày cho gia đình nên sức khỏe thường kém hơn.</w:t>
      </w:r>
    </w:p>
    <w:p w:rsidR="00C91F4C" w:rsidRPr="00E71B01" w:rsidRDefault="00C91F4C" w:rsidP="00AC764C">
      <w:pPr>
        <w:spacing w:before="120" w:after="0" w:line="320" w:lineRule="atLeast"/>
        <w:ind w:firstLine="720"/>
        <w:jc w:val="both"/>
        <w:rPr>
          <w:rFonts w:ascii="Palatino Linotype" w:hAnsi="Palatino Linotype"/>
          <w:spacing w:val="-2"/>
        </w:rPr>
      </w:pPr>
      <w:r w:rsidRPr="00E71B01">
        <w:rPr>
          <w:rFonts w:ascii="Palatino Linotype" w:hAnsi="Palatino Linotype"/>
          <w:b/>
          <w:bCs/>
          <w:i/>
          <w:iCs/>
          <w:spacing w:val="-2"/>
        </w:rPr>
        <w:t>Thứ ba,</w:t>
      </w:r>
      <w:r w:rsidRPr="00E71B01">
        <w:rPr>
          <w:rFonts w:ascii="Palatino Linotype" w:hAnsi="Palatino Linotype"/>
          <w:spacing w:val="-2"/>
        </w:rPr>
        <w:t xml:space="preserve"> </w:t>
      </w:r>
      <w:r w:rsidRPr="0012508D">
        <w:rPr>
          <w:rFonts w:ascii="Palatino Linotype" w:hAnsi="Palatino Linotype"/>
          <w:b/>
          <w:i/>
          <w:spacing w:val="-2"/>
        </w:rPr>
        <w:t>mức độ nhận được hỗ trợ y tế trong vài năm trở lại đây của hộ</w:t>
      </w:r>
      <w:r w:rsidR="00E67DF5" w:rsidRPr="0012508D">
        <w:rPr>
          <w:rFonts w:ascii="Palatino Linotype" w:hAnsi="Palatino Linotype"/>
          <w:b/>
          <w:i/>
          <w:spacing w:val="-2"/>
        </w:rPr>
        <w:t xml:space="preserve"> gia đình</w:t>
      </w:r>
    </w:p>
    <w:p w:rsidR="00353B86" w:rsidRPr="00C83C17" w:rsidRDefault="00C91F4C" w:rsidP="00AC764C">
      <w:pPr>
        <w:spacing w:before="120" w:after="0" w:line="320" w:lineRule="atLeast"/>
        <w:jc w:val="both"/>
        <w:rPr>
          <w:rFonts w:ascii="Palatino Linotype" w:hAnsi="Palatino Linotype"/>
          <w:i/>
          <w:spacing w:val="-2"/>
        </w:rPr>
      </w:pPr>
      <w:r w:rsidRPr="00E71B01">
        <w:rPr>
          <w:rFonts w:ascii="Palatino Linotype" w:hAnsi="Palatino Linotype"/>
          <w:spacing w:val="-2"/>
        </w:rPr>
        <w:tab/>
      </w:r>
      <w:r w:rsidRPr="00C83C17">
        <w:rPr>
          <w:rFonts w:ascii="Palatino Linotype" w:hAnsi="Palatino Linotype"/>
          <w:spacing w:val="-2"/>
        </w:rPr>
        <w:t>Trước đây, khi ở dưới đò, việc tiếp cận với dịch vụ y tế của người dân vô cùng hạn chế và khó khăn. Bây giờ, khi đã ổn định tại khu tái định cư Hương Sơ, người dân đã bắt đầu có thói quen tìm đến trạm y tế để được hỗ trợ chăm sóc sức khỏe. Các hoạt độ</w:t>
      </w:r>
      <w:r w:rsidR="00427F0F" w:rsidRPr="00C83C17">
        <w:rPr>
          <w:rFonts w:ascii="Palatino Linotype" w:hAnsi="Palatino Linotype"/>
          <w:spacing w:val="-2"/>
        </w:rPr>
        <w:t>ng này</w:t>
      </w:r>
      <w:r w:rsidRPr="00C83C17">
        <w:rPr>
          <w:rFonts w:ascii="Palatino Linotype" w:hAnsi="Palatino Linotype"/>
          <w:spacing w:val="-2"/>
        </w:rPr>
        <w:t xml:space="preserve"> được thực hiện chủ yếu bởi trạm y tế của phườ</w:t>
      </w:r>
      <w:r w:rsidR="00235264" w:rsidRPr="00C83C17">
        <w:rPr>
          <w:rFonts w:ascii="Palatino Linotype" w:hAnsi="Palatino Linotype"/>
          <w:spacing w:val="-2"/>
        </w:rPr>
        <w:t>ng. Kết quả</w:t>
      </w:r>
      <w:r w:rsidRPr="00C83C17">
        <w:rPr>
          <w:rFonts w:ascii="Palatino Linotype" w:hAnsi="Palatino Linotype"/>
          <w:spacing w:val="-2"/>
        </w:rPr>
        <w:t xml:space="preserve"> khảo sát cho thấy, mặc dù trang thiết bị phục vụ cho hoạt động y tế tại trạm còn thiếu thốn, cán bộ kiêm nhiệm nhiều công việc nhưng đội ngũ cán bộ y tế tại đây vẫn ưu tiên nhiều hoạt động chăm sóc sức khỏe ban đầu cho người dân. Các hoạt động chăm sóc sức khỏe ban đầu đã và đang được triển khai tại địa phương như giáo dục sức khỏe; Quản lý theo dõi bà mẹ mang thai và trẻ em suy dinh dưỡng; Khám và điều trị phụ khoa; Tiêm chủng cho trẻ em; Phòng chống các bệnh dịch tại địa phương…</w:t>
      </w:r>
      <w:r w:rsidR="00810832" w:rsidRPr="00C83C17">
        <w:rPr>
          <w:rFonts w:ascii="Palatino Linotype" w:hAnsi="Palatino Linotype"/>
          <w:spacing w:val="-2"/>
        </w:rPr>
        <w:t xml:space="preserve"> Tuy nhiên, </w:t>
      </w:r>
      <w:r w:rsidR="0037765E">
        <w:rPr>
          <w:rFonts w:ascii="Palatino Linotype" w:hAnsi="Palatino Linotype"/>
          <w:spacing w:val="-2"/>
        </w:rPr>
        <w:t xml:space="preserve">rào cản tiếp cận dịch vụ lại xuất phát từ nhóm đối tượng thụ hưởng là cư dân vạn đò. Người dân ở đây không </w:t>
      </w:r>
      <w:r w:rsidR="00810832" w:rsidRPr="00C83C17">
        <w:rPr>
          <w:rFonts w:ascii="Palatino Linotype" w:hAnsi="Palatino Linotype"/>
          <w:spacing w:val="-2"/>
        </w:rPr>
        <w:t xml:space="preserve">có thói quen tìm kiếm thông tin </w:t>
      </w:r>
      <w:r w:rsidR="0037765E">
        <w:rPr>
          <w:rFonts w:ascii="Palatino Linotype" w:hAnsi="Palatino Linotype"/>
          <w:spacing w:val="-2"/>
        </w:rPr>
        <w:t>trong lĩnh vực y tế</w:t>
      </w:r>
      <w:r w:rsidR="00810832" w:rsidRPr="00C83C17">
        <w:rPr>
          <w:rFonts w:ascii="Palatino Linotype" w:hAnsi="Palatino Linotype"/>
          <w:spacing w:val="-2"/>
        </w:rPr>
        <w:t xml:space="preserve">. Thái độ thụ động trong việc chăm sóc sức khỏe bản thân và gia đình đã khiến họ đánh mất nhiều cơ hội tham gia các dịch vụ cung cấp thông tin về chăm sóc sức khỏe diễn ra tại địa phương nói riêng và trên địa bàn thành phố Huế nói chung. Sự hạn chế về trình độ nhận thức và điều kiện kinh tế của cư </w:t>
      </w:r>
      <w:r w:rsidR="00810832" w:rsidRPr="00C83C17">
        <w:rPr>
          <w:rFonts w:ascii="Palatino Linotype" w:hAnsi="Palatino Linotype"/>
          <w:spacing w:val="-2"/>
        </w:rPr>
        <w:lastRenderedPageBreak/>
        <w:t xml:space="preserve">dân vạn đò càng làm giãn rộng khoảng cách tiếp cận giữa </w:t>
      </w:r>
      <w:r w:rsidR="0037765E">
        <w:rPr>
          <w:rFonts w:ascii="Palatino Linotype" w:hAnsi="Palatino Linotype"/>
          <w:spacing w:val="-2"/>
        </w:rPr>
        <w:t>nhóm này</w:t>
      </w:r>
      <w:r w:rsidR="00810832" w:rsidRPr="00C83C17">
        <w:rPr>
          <w:rFonts w:ascii="Palatino Linotype" w:hAnsi="Palatino Linotype"/>
          <w:spacing w:val="-2"/>
        </w:rPr>
        <w:t xml:space="preserve"> </w:t>
      </w:r>
      <w:r w:rsidR="00782990">
        <w:rPr>
          <w:rFonts w:ascii="Palatino Linotype" w:hAnsi="Palatino Linotype"/>
          <w:spacing w:val="-2"/>
        </w:rPr>
        <w:t>với</w:t>
      </w:r>
      <w:r w:rsidR="00810832" w:rsidRPr="00C83C17">
        <w:rPr>
          <w:rFonts w:ascii="Palatino Linotype" w:hAnsi="Palatino Linotype"/>
          <w:spacing w:val="-2"/>
        </w:rPr>
        <w:t xml:space="preserve"> các dịch vụ </w:t>
      </w:r>
      <w:r w:rsidR="00782990">
        <w:rPr>
          <w:rFonts w:ascii="Palatino Linotype" w:hAnsi="Palatino Linotype"/>
          <w:spacing w:val="-2"/>
        </w:rPr>
        <w:t>y tế tại địa phương</w:t>
      </w:r>
      <w:r w:rsidR="00810832" w:rsidRPr="00C83C17">
        <w:rPr>
          <w:rFonts w:ascii="Palatino Linotype" w:hAnsi="Palatino Linotype"/>
          <w:spacing w:val="-2"/>
        </w:rPr>
        <w:t xml:space="preserve">. </w:t>
      </w:r>
    </w:p>
    <w:p w:rsidR="00C91F4C" w:rsidRPr="00E71B01" w:rsidRDefault="005C2816" w:rsidP="00AC764C">
      <w:pPr>
        <w:spacing w:before="120" w:after="0" w:line="320" w:lineRule="atLeast"/>
        <w:jc w:val="both"/>
        <w:rPr>
          <w:rFonts w:ascii="Palatino Linotype" w:hAnsi="Palatino Linotype"/>
          <w:b/>
          <w:i/>
        </w:rPr>
      </w:pPr>
      <w:r w:rsidRPr="00E71B01">
        <w:rPr>
          <w:rFonts w:ascii="Palatino Linotype" w:hAnsi="Palatino Linotype"/>
          <w:b/>
          <w:i/>
        </w:rPr>
        <w:t>2.4. T</w:t>
      </w:r>
      <w:r w:rsidR="00C91F4C" w:rsidRPr="00E71B01">
        <w:rPr>
          <w:rFonts w:ascii="Palatino Linotype" w:hAnsi="Palatino Linotype"/>
          <w:b/>
          <w:i/>
        </w:rPr>
        <w:t>iếp cận nước sạch</w:t>
      </w:r>
    </w:p>
    <w:p w:rsidR="00C91F4C" w:rsidRPr="00E71B01" w:rsidRDefault="00C91F4C" w:rsidP="00AC764C">
      <w:pPr>
        <w:spacing w:before="120" w:after="0" w:line="320" w:lineRule="atLeast"/>
        <w:jc w:val="both"/>
        <w:rPr>
          <w:rFonts w:ascii="Palatino Linotype" w:hAnsi="Palatino Linotype"/>
          <w:spacing w:val="-2"/>
        </w:rPr>
      </w:pPr>
      <w:r w:rsidRPr="00E71B01">
        <w:rPr>
          <w:rFonts w:ascii="Palatino Linotype" w:hAnsi="Palatino Linotype"/>
        </w:rPr>
        <w:tab/>
      </w:r>
      <w:r w:rsidR="004516F3">
        <w:rPr>
          <w:rFonts w:ascii="Palatino Linotype" w:hAnsi="Palatino Linotype"/>
        </w:rPr>
        <w:t xml:space="preserve">Tại khu tái định cư, </w:t>
      </w:r>
      <w:r w:rsidRPr="00E71B01">
        <w:rPr>
          <w:rFonts w:ascii="Palatino Linotype" w:hAnsi="Palatino Linotype"/>
          <w:spacing w:val="-2"/>
        </w:rPr>
        <w:t>người dân được sử dụng nguồn nước sạch từ hệ thống cung cấp nước máy của thành phố Huế. Theo khảo sát, 100% hộ gia đình tại địa bàn nghiên cứu đều sử dụng nước máy trong ăn, uống và sinh hoạ</w:t>
      </w:r>
      <w:r w:rsidR="004516F3">
        <w:rPr>
          <w:rFonts w:ascii="Palatino Linotype" w:hAnsi="Palatino Linotype"/>
          <w:spacing w:val="-2"/>
        </w:rPr>
        <w:t xml:space="preserve">t hàng ngày. </w:t>
      </w:r>
      <w:r w:rsidRPr="00E71B01">
        <w:rPr>
          <w:rFonts w:ascii="Palatino Linotype" w:hAnsi="Palatino Linotype"/>
          <w:spacing w:val="-2"/>
        </w:rPr>
        <w:t>Nhiều người dân cảm thấy hài lòng với việc sử dụng nguồn nước hiện tại của hộ gia đình, tỷ lệ này chiếm 35%. Tuy nhiên, vẫn còn một số hộ dân chưa thật sự hài lòng với nguồn nước mà gia đình đang sử dụng (18%)</w:t>
      </w:r>
      <w:r w:rsidR="004516F3">
        <w:rPr>
          <w:rStyle w:val="FootnoteReference"/>
          <w:rFonts w:ascii="Palatino Linotype" w:hAnsi="Palatino Linotype"/>
          <w:spacing w:val="-2"/>
        </w:rPr>
        <w:footnoteReference w:id="2"/>
      </w:r>
      <w:r w:rsidRPr="00E71B01">
        <w:rPr>
          <w:rFonts w:ascii="Palatino Linotype" w:hAnsi="Palatino Linotype"/>
          <w:spacing w:val="-2"/>
        </w:rPr>
        <w:t>. Lý do mà các hộ không hài lòng là do phí nước sạch quá cao so với việc sử dụng nước hàng ngày của họ</w:t>
      </w:r>
      <w:r w:rsidR="004516F3">
        <w:rPr>
          <w:rFonts w:ascii="Palatino Linotype" w:hAnsi="Palatino Linotype"/>
          <w:spacing w:val="-2"/>
        </w:rPr>
        <w:t>. N</w:t>
      </w:r>
      <w:r w:rsidRPr="00E71B01">
        <w:rPr>
          <w:rFonts w:ascii="Palatino Linotype" w:hAnsi="Palatino Linotype"/>
          <w:spacing w:val="-2"/>
        </w:rPr>
        <w:t xml:space="preserve">goài ra một số hộ gặp vấn đề với ống dẫn nước, nước chảy chậm và yếu, nhất là về mùa hè. </w:t>
      </w:r>
      <w:r w:rsidRPr="00E71B01">
        <w:rPr>
          <w:rFonts w:ascii="Palatino Linotype" w:hAnsi="Palatino Linotype"/>
          <w:spacing w:val="-2"/>
          <w:lang w:val="vi-VN"/>
        </w:rPr>
        <w:t>Bên cạnh đó, khoản chi phí trả tiền nước hàng tháng cũng là một trong những khó khăn mà người dân ở đây phải lưu tâm</w:t>
      </w:r>
      <w:r w:rsidR="004516F3">
        <w:rPr>
          <w:rFonts w:ascii="Palatino Linotype" w:hAnsi="Palatino Linotype"/>
          <w:spacing w:val="-2"/>
          <w:vertAlign w:val="superscript"/>
        </w:rPr>
        <w:t xml:space="preserve"> </w:t>
      </w:r>
      <w:r w:rsidR="004516F3">
        <w:rPr>
          <w:rFonts w:ascii="Palatino Linotype" w:hAnsi="Palatino Linotype"/>
          <w:spacing w:val="-2"/>
        </w:rPr>
        <w:t>.</w:t>
      </w:r>
      <w:r w:rsidRPr="00E71B01">
        <w:rPr>
          <w:rFonts w:ascii="Palatino Linotype" w:hAnsi="Palatino Linotype"/>
          <w:spacing w:val="-2"/>
        </w:rPr>
        <w:t xml:space="preserve"> Nhiều gia đình đông người nên hàng tháng chi phí cho tiền nước rất lớn, vì thu nhập thấp nên hàng ngày họ cố gắng tiết kiệm tối đa việc sử dụng nước sạch. Một số hộ gia đình thường dùng lại nước rửa rau để rửa chén bát hoặc giặt quần áo, số khác thì dùng dụng cụ để tích trữ nước mưa…Người dân cũng không cảm thấy thoải mái với việc này nhưng họ không còn cách nào khác là phải tiết kiệm nước sạch. Họ cũng mong muốn Nhà nước có thể giảm phí tiền nước cho những cư dân vạn đò như họ. </w:t>
      </w:r>
    </w:p>
    <w:p w:rsidR="003871EC" w:rsidRPr="00E71B01" w:rsidRDefault="00C91F4C" w:rsidP="00AC764C">
      <w:pPr>
        <w:spacing w:before="120" w:after="0" w:line="320" w:lineRule="atLeast"/>
        <w:jc w:val="both"/>
        <w:rPr>
          <w:rFonts w:ascii="Palatino Linotype" w:hAnsi="Palatino Linotype"/>
        </w:rPr>
      </w:pPr>
      <w:r w:rsidRPr="00E71B01">
        <w:rPr>
          <w:rFonts w:ascii="Palatino Linotype" w:hAnsi="Palatino Linotype"/>
        </w:rPr>
        <w:tab/>
        <w:t>Như vậy, có thể thấy được chính quyền địa phương đã có nhiều nỗ lực hỗ trợ cư dân thủy diện tái định cư tiếp cận dịch vụ xã hội cơ bản. Tuy nhiên, thực tế khảo sát cho thấy nhóm dân này vẫn thiếu khá nhiều cơ hội trong việc tiếp cận và sử dụng các dịch vụ về nhà ở, y tế, giáo dục, nước sạch. Việc thiếu hụt các cơ hội tiếp cận chính sách có thể được coi là hệ quả của tình trạng “nghèo đa chiều” ở</w:t>
      </w:r>
      <w:r w:rsidR="003871EC" w:rsidRPr="00E71B01">
        <w:rPr>
          <w:rFonts w:ascii="Palatino Linotype" w:hAnsi="Palatino Linotype"/>
        </w:rPr>
        <w:t xml:space="preserve"> nhóm này, cũng như bị tác động bởi những yếu tố cụ thể dưới đây. </w:t>
      </w:r>
    </w:p>
    <w:p w:rsidR="00BB6F08" w:rsidRPr="00E71B01" w:rsidRDefault="00BB6F08" w:rsidP="00AC764C">
      <w:pPr>
        <w:spacing w:before="120" w:after="0" w:line="320" w:lineRule="atLeast"/>
        <w:jc w:val="both"/>
        <w:rPr>
          <w:rFonts w:ascii="Palatino Linotype" w:hAnsi="Palatino Linotype"/>
          <w:b/>
        </w:rPr>
      </w:pPr>
      <w:r w:rsidRPr="00E71B01">
        <w:rPr>
          <w:rFonts w:ascii="Palatino Linotype" w:hAnsi="Palatino Linotype"/>
          <w:b/>
        </w:rPr>
        <w:t>3. Một số yếu tố ảnh hưởng đến việc tiếp cận dịch vụ xã hội cơ bản của cư dân vạn đò tại khu tái định cư</w:t>
      </w:r>
    </w:p>
    <w:p w:rsidR="00466E10" w:rsidRDefault="00171922" w:rsidP="00466E10">
      <w:pPr>
        <w:spacing w:after="0" w:line="320" w:lineRule="atLeast"/>
        <w:jc w:val="both"/>
        <w:rPr>
          <w:rFonts w:ascii="Palatino Linotype" w:hAnsi="Palatino Linotype"/>
          <w:b/>
          <w:i/>
        </w:rPr>
      </w:pPr>
      <w:r w:rsidRPr="00171922">
        <w:rPr>
          <w:rFonts w:ascii="Palatino Linotype" w:hAnsi="Palatino Linotype"/>
          <w:b/>
          <w:i/>
        </w:rPr>
        <w:t xml:space="preserve">3.1. </w:t>
      </w:r>
      <w:r w:rsidR="004C2D8C" w:rsidRPr="00171922">
        <w:rPr>
          <w:rFonts w:ascii="Palatino Linotype" w:hAnsi="Palatino Linotype"/>
          <w:b/>
          <w:i/>
        </w:rPr>
        <w:t>Trình</w:t>
      </w:r>
      <w:r w:rsidR="004C2D8C" w:rsidRPr="00E71B01">
        <w:rPr>
          <w:rFonts w:ascii="Palatino Linotype" w:hAnsi="Palatino Linotype"/>
          <w:b/>
          <w:i/>
        </w:rPr>
        <w:t xml:space="preserve"> độ dân trí thấp</w:t>
      </w:r>
    </w:p>
    <w:p w:rsidR="009F4F70" w:rsidRPr="00466E10" w:rsidRDefault="00466E10" w:rsidP="00466E10">
      <w:pPr>
        <w:spacing w:after="0" w:line="320" w:lineRule="atLeast"/>
        <w:jc w:val="both"/>
        <w:rPr>
          <w:rFonts w:ascii="Palatino Linotype" w:hAnsi="Palatino Linotype"/>
          <w:b/>
          <w:i/>
        </w:rPr>
      </w:pPr>
      <w:r>
        <w:rPr>
          <w:rFonts w:ascii="Palatino Linotype" w:hAnsi="Palatino Linotype"/>
          <w:b/>
          <w:i/>
        </w:rPr>
        <w:tab/>
      </w:r>
      <w:r w:rsidR="004C2D8C" w:rsidRPr="00E71B01">
        <w:rPr>
          <w:rFonts w:ascii="Palatino Linotype" w:hAnsi="Palatino Linotype"/>
        </w:rPr>
        <w:t>Tình trạng mù ch</w:t>
      </w:r>
      <w:r w:rsidR="00072276">
        <w:rPr>
          <w:rFonts w:ascii="Palatino Linotype" w:hAnsi="Palatino Linotype"/>
        </w:rPr>
        <w:t xml:space="preserve">ữ, </w:t>
      </w:r>
      <w:r w:rsidR="00670BDC">
        <w:rPr>
          <w:rFonts w:ascii="Palatino Linotype" w:hAnsi="Palatino Linotype"/>
        </w:rPr>
        <w:t>dân trí thấp</w:t>
      </w:r>
      <w:r w:rsidR="004C2D8C" w:rsidRPr="00E71B01">
        <w:rPr>
          <w:rFonts w:ascii="Palatino Linotype" w:hAnsi="Palatino Linotype"/>
        </w:rPr>
        <w:t xml:space="preserve"> của nhóm cư dân</w:t>
      </w:r>
      <w:r w:rsidR="000B7B17">
        <w:rPr>
          <w:rFonts w:ascii="Palatino Linotype" w:hAnsi="Palatino Linotype"/>
        </w:rPr>
        <w:t xml:space="preserve"> vạn đò tái định cư</w:t>
      </w:r>
      <w:r w:rsidR="00E15DFA">
        <w:rPr>
          <w:rFonts w:ascii="Palatino Linotype" w:hAnsi="Palatino Linotype"/>
        </w:rPr>
        <w:t xml:space="preserve"> tại</w:t>
      </w:r>
      <w:r w:rsidR="000B7B17">
        <w:rPr>
          <w:rFonts w:ascii="Palatino Linotype" w:hAnsi="Palatino Linotype"/>
        </w:rPr>
        <w:t xml:space="preserve"> phườ</w:t>
      </w:r>
      <w:r w:rsidR="00670BDC">
        <w:rPr>
          <w:rFonts w:ascii="Palatino Linotype" w:hAnsi="Palatino Linotype"/>
        </w:rPr>
        <w:t>ng Hương Sơ là một thực tế</w:t>
      </w:r>
      <w:r w:rsidR="004C2D8C" w:rsidRPr="00E71B01">
        <w:rPr>
          <w:rFonts w:ascii="Palatino Linotype" w:hAnsi="Palatino Linotype"/>
        </w:rPr>
        <w:t>. Đây</w:t>
      </w:r>
      <w:r w:rsidR="00A226E9">
        <w:rPr>
          <w:rFonts w:ascii="Palatino Linotype" w:hAnsi="Palatino Linotype"/>
        </w:rPr>
        <w:t xml:space="preserve"> cũng</w:t>
      </w:r>
      <w:r w:rsidR="004C2D8C" w:rsidRPr="00E71B01">
        <w:rPr>
          <w:rFonts w:ascii="Palatino Linotype" w:hAnsi="Palatino Linotype"/>
        </w:rPr>
        <w:t xml:space="preserve"> được coi là yếu tố đầu tiên khiến họ khó tiếp cận với các dịch vụ xã hội cơ bản. </w:t>
      </w:r>
      <w:r w:rsidR="00631F68">
        <w:rPr>
          <w:rFonts w:ascii="Palatino Linotype" w:hAnsi="Palatino Linotype"/>
        </w:rPr>
        <w:t xml:space="preserve">Hệ </w:t>
      </w:r>
      <w:r w:rsidR="004C2D8C" w:rsidRPr="00E71B01">
        <w:rPr>
          <w:rFonts w:ascii="Palatino Linotype" w:hAnsi="Palatino Linotype"/>
        </w:rPr>
        <w:t>quả của mù chữ dẫn đến người dân vạ</w:t>
      </w:r>
      <w:r w:rsidR="00631F68">
        <w:rPr>
          <w:rFonts w:ascii="Palatino Linotype" w:hAnsi="Palatino Linotype"/>
        </w:rPr>
        <w:t xml:space="preserve">n đò </w:t>
      </w:r>
      <w:r w:rsidR="004C2D8C" w:rsidRPr="00E71B01">
        <w:rPr>
          <w:rFonts w:ascii="Palatino Linotype" w:hAnsi="Palatino Linotype"/>
        </w:rPr>
        <w:t>thiếu hiểu biết trong ứng xử, mâu thuẫn, xung độ</w:t>
      </w:r>
      <w:r w:rsidR="00631F68">
        <w:rPr>
          <w:rFonts w:ascii="Palatino Linotype" w:hAnsi="Palatino Linotype"/>
        </w:rPr>
        <w:t xml:space="preserve">t trong gia đình </w:t>
      </w:r>
      <w:r w:rsidR="004C2D8C" w:rsidRPr="00E71B01">
        <w:rPr>
          <w:rFonts w:ascii="Palatino Linotype" w:hAnsi="Palatino Linotype"/>
        </w:rPr>
        <w:t>và bất bình đẳng trong tiếp cận dịch vụ xã hội cơ bả</w:t>
      </w:r>
      <w:r w:rsidR="00631F68">
        <w:rPr>
          <w:rFonts w:ascii="Palatino Linotype" w:hAnsi="Palatino Linotype"/>
        </w:rPr>
        <w:t>n</w:t>
      </w:r>
      <w:r w:rsidR="004C2D8C" w:rsidRPr="00E71B01">
        <w:rPr>
          <w:rFonts w:ascii="Palatino Linotype" w:hAnsi="Palatino Linotype"/>
        </w:rPr>
        <w:t>. Mù chữ khiến cư dân vạn đò không chủ động trong việc tiếp cận thông tin dẫn đến sự thiệt thòi so với những nhóm cư dân khác.</w:t>
      </w:r>
      <w:r w:rsidR="00095EFF">
        <w:rPr>
          <w:rFonts w:ascii="Palatino Linotype" w:hAnsi="Palatino Linotype"/>
        </w:rPr>
        <w:t xml:space="preserve"> Điều này </w:t>
      </w:r>
      <w:r w:rsidR="004C2D8C" w:rsidRPr="00E71B01">
        <w:rPr>
          <w:rFonts w:ascii="Palatino Linotype" w:hAnsi="Palatino Linotype"/>
        </w:rPr>
        <w:t xml:space="preserve">ảnh hưởng </w:t>
      </w:r>
      <w:r w:rsidR="00095EFF">
        <w:rPr>
          <w:rFonts w:ascii="Palatino Linotype" w:hAnsi="Palatino Linotype"/>
        </w:rPr>
        <w:t>tiêu cực</w:t>
      </w:r>
      <w:r w:rsidR="004C2D8C" w:rsidRPr="00E71B01">
        <w:rPr>
          <w:rFonts w:ascii="Palatino Linotype" w:hAnsi="Palatino Linotype"/>
        </w:rPr>
        <w:t xml:space="preserve"> tới việc phổ biến chính sách của cán bộ địa phương. Nhiều phụ nữ do không biết đọc, biết viế</w:t>
      </w:r>
      <w:r w:rsidR="009F4F70">
        <w:rPr>
          <w:rFonts w:ascii="Palatino Linotype" w:hAnsi="Palatino Linotype"/>
        </w:rPr>
        <w:t>t nên</w:t>
      </w:r>
      <w:r w:rsidR="004C2D8C" w:rsidRPr="00E71B01">
        <w:rPr>
          <w:rFonts w:ascii="Palatino Linotype" w:hAnsi="Palatino Linotype"/>
        </w:rPr>
        <w:t xml:space="preserve"> không biết cách điền vào các mẫu xin vay vốn, các thủ tục học hành, làm giấy khai sinh cho con cái, các dịch vụ chăm sóc sức khỏe sinh sản, cũng như lập kế hoạch sản xuất hay chi tiêu trong gia đình... dẫn đến </w:t>
      </w:r>
      <w:r w:rsidR="004C2D8C" w:rsidRPr="00E71B01">
        <w:rPr>
          <w:rFonts w:ascii="Palatino Linotype" w:hAnsi="Palatino Linotype"/>
        </w:rPr>
        <w:lastRenderedPageBreak/>
        <w:t xml:space="preserve">thiệt thòi, yếu thế và mất đi cơ hội tiếp cận các chính sách mà bản thân là đối tượng hưởng lợi. Họ cũng ít khi hỏi lại cán bộ địa phương về việc thụ hưởng các chính sách như thế nào bởi khả năng tiếp cận thông tin hạn chế và thái độ tự ti với bản thân. Do đó vô hình chung, bản thân họ tự loại mình ra khỏi sự hỗ trợ từ các chính sách an sinh xã hội.  </w:t>
      </w:r>
    </w:p>
    <w:p w:rsidR="004C2D8C" w:rsidRPr="004833C5" w:rsidRDefault="004C2D8C" w:rsidP="00AC764C">
      <w:pPr>
        <w:spacing w:before="120" w:after="0" w:line="320" w:lineRule="atLeast"/>
        <w:jc w:val="both"/>
        <w:rPr>
          <w:rFonts w:ascii="Palatino Linotype" w:hAnsi="Palatino Linotype"/>
        </w:rPr>
      </w:pPr>
      <w:r w:rsidRPr="00E71B01">
        <w:rPr>
          <w:rFonts w:ascii="Palatino Linotype" w:hAnsi="Palatino Linotype"/>
          <w:b/>
          <w:i/>
        </w:rPr>
        <w:t>3.</w:t>
      </w:r>
      <w:r w:rsidR="004833C5">
        <w:rPr>
          <w:rFonts w:ascii="Palatino Linotype" w:hAnsi="Palatino Linotype"/>
          <w:b/>
          <w:i/>
        </w:rPr>
        <w:t>2</w:t>
      </w:r>
      <w:r w:rsidRPr="00E71B01">
        <w:rPr>
          <w:rFonts w:ascii="Palatino Linotype" w:hAnsi="Palatino Linotype"/>
          <w:b/>
          <w:i/>
        </w:rPr>
        <w:t>. Sự hạn chế của hệ thống dịch vụ xã hộ</w:t>
      </w:r>
      <w:r w:rsidR="0046771E" w:rsidRPr="00E71B01">
        <w:rPr>
          <w:rFonts w:ascii="Palatino Linotype" w:hAnsi="Palatino Linotype"/>
          <w:b/>
          <w:i/>
        </w:rPr>
        <w:t>i</w:t>
      </w:r>
      <w:r w:rsidRPr="00E71B01">
        <w:rPr>
          <w:rFonts w:ascii="Palatino Linotype" w:hAnsi="Palatino Linotype"/>
        </w:rPr>
        <w:t xml:space="preserve"> </w:t>
      </w:r>
    </w:p>
    <w:p w:rsidR="004C2D8C" w:rsidRPr="00E71B01" w:rsidRDefault="004C2D8C" w:rsidP="00AC764C">
      <w:pPr>
        <w:spacing w:before="120" w:after="0" w:line="320" w:lineRule="atLeast"/>
        <w:jc w:val="both"/>
        <w:rPr>
          <w:rFonts w:ascii="Palatino Linotype" w:hAnsi="Palatino Linotype"/>
        </w:rPr>
      </w:pPr>
      <w:r w:rsidRPr="00E71B01">
        <w:rPr>
          <w:rFonts w:ascii="Palatino Linotype" w:hAnsi="Palatino Linotype"/>
        </w:rPr>
        <w:tab/>
        <w:t xml:space="preserve">Không thể phủ nhận rằng dự án tái định cư đã đưa đến cho </w:t>
      </w:r>
      <w:r w:rsidR="00204BAD">
        <w:rPr>
          <w:rFonts w:ascii="Palatino Linotype" w:hAnsi="Palatino Linotype"/>
        </w:rPr>
        <w:t>cư dân vạn đò</w:t>
      </w:r>
      <w:r w:rsidRPr="00E71B01">
        <w:rPr>
          <w:rFonts w:ascii="Palatino Linotype" w:hAnsi="Palatino Linotype"/>
        </w:rPr>
        <w:t xml:space="preserve"> cơ hội lớn được tiếp cận các dịch vụ xã hội cơ bản. Họ đã có nhà ở - điều mà bao thế hệ cư dân vạn đò trước đây chỉ có trong mơ ước và nay đã trở thành hiện thực. Họ cũng được tiếp cận với nguồn nước sạch và điều kiện vệ sinh môi trường tốt hơn rất nhiều so với khi ở những bến đò, con cái cũng có cơ hội được đến trường và không phải chịu cảnh mù chữ như thế hệ bố mẹ, ông bà trước đây…Tuy nhiên, mức độ tiếp cận với các dịch vụ xã hội cơ bản vẫn ở mức rất thấp, thậm chí nhiều hộ gia đình vẫn chưa thể sử dụng được các dịch vụ này. Những rào cản đối với họ không chỉ xuất phát từ phía bản thân người sử dụng dịch vụ (trình độ nhận thức quá hạn chế; điều kiện kinh tế nghèo nàn) mà còn từ cả phía hệ thống cung cấp dịch vụ xã hội. Chẳng hạn như trong một số dịch vụ dưới đây:</w:t>
      </w:r>
    </w:p>
    <w:p w:rsidR="004C2D8C" w:rsidRPr="00E71B01" w:rsidRDefault="004C2D8C" w:rsidP="00AC764C">
      <w:pPr>
        <w:spacing w:before="120" w:after="0" w:line="320" w:lineRule="atLeast"/>
        <w:jc w:val="both"/>
        <w:rPr>
          <w:rFonts w:ascii="Palatino Linotype" w:hAnsi="Palatino Linotype"/>
          <w:i/>
        </w:rPr>
      </w:pPr>
      <w:r w:rsidRPr="00E71B01">
        <w:rPr>
          <w:rFonts w:ascii="Palatino Linotype" w:hAnsi="Palatino Linotype"/>
        </w:rPr>
        <w:tab/>
      </w:r>
      <w:r w:rsidR="004833C5">
        <w:rPr>
          <w:rFonts w:ascii="Palatino Linotype" w:hAnsi="Palatino Linotype"/>
        </w:rPr>
        <w:t xml:space="preserve">- </w:t>
      </w:r>
      <w:r w:rsidRPr="00E71B01">
        <w:rPr>
          <w:rFonts w:ascii="Palatino Linotype" w:hAnsi="Palatino Linotype"/>
        </w:rPr>
        <w:t xml:space="preserve">Dịch vụ thông tin và truyền thông: Việc cung cấp thông tin ở địa phương còn mang tính đại trà, chưa có sự phân loại đối tượng người nhận thông tin. Đa phần cư dân vạn đò là người không biết chữ, nhận thức hạn hẹp, việc tiếp cận thông tin vô cùng hạn chế. Tuy nhiên, cách phổ biến thông tin của cán bộ địa phương vẫn đánh đồng như các nhóm cư dân có trình độ nhận thức khác. Do vậy mà người dân tiếp nhận thông tin chậm, thậm chí là không biết đến thông tin và có nhiều trường hợp bị kẻ xấu lợi dụng gây ảnh hưởng đến cuộc sống của họ. Trong quá trình chúng tôi khảo sát, </w:t>
      </w:r>
      <w:r w:rsidR="00AD1D83">
        <w:rPr>
          <w:rFonts w:ascii="Palatino Linotype" w:hAnsi="Palatino Linotype"/>
        </w:rPr>
        <w:t>một</w:t>
      </w:r>
      <w:bookmarkStart w:id="12" w:name="_GoBack"/>
      <w:bookmarkEnd w:id="12"/>
      <w:r w:rsidRPr="00E71B01">
        <w:rPr>
          <w:rFonts w:ascii="Palatino Linotype" w:hAnsi="Palatino Linotype"/>
        </w:rPr>
        <w:t xml:space="preserve"> hộ dân cho biết: “</w:t>
      </w:r>
      <w:r w:rsidRPr="00E71B01">
        <w:rPr>
          <w:rFonts w:ascii="Palatino Linotype" w:hAnsi="Palatino Linotype"/>
          <w:i/>
        </w:rPr>
        <w:t>Năm trước chính quyền phổ biến là chúng tôi mỗi tháng phải trả 500 ngàn đồng tiền cấp nhà và sẽ có người đến thu hàng tháng. Nhưng mà nói không rõ ràng nên đợt vừa rồi nhiều hộ ở đây bị kẻ xấu lừa. Họ đến từng nhà, nói là người của ngân hàng và thu nợ của chúng tôi. Nhiều hộ nộp tiền lắm, đến khi có cán bộ trên phường xuống chúng tôi mới biết”</w:t>
      </w:r>
      <w:r w:rsidR="00431045">
        <w:rPr>
          <w:rStyle w:val="FootnoteReference"/>
          <w:rFonts w:ascii="Palatino Linotype" w:hAnsi="Palatino Linotype"/>
          <w:i/>
        </w:rPr>
        <w:footnoteReference w:id="3"/>
      </w:r>
    </w:p>
    <w:p w:rsidR="00FF314B" w:rsidRDefault="00F707D6" w:rsidP="00AC764C">
      <w:pPr>
        <w:spacing w:before="120" w:after="0" w:line="320" w:lineRule="atLeast"/>
        <w:jc w:val="both"/>
        <w:rPr>
          <w:rFonts w:ascii="Palatino Linotype" w:hAnsi="Palatino Linotype"/>
        </w:rPr>
      </w:pPr>
      <w:r>
        <w:rPr>
          <w:rFonts w:ascii="Palatino Linotype" w:hAnsi="Palatino Linotype"/>
        </w:rPr>
        <w:tab/>
      </w:r>
      <w:r w:rsidR="004833C5">
        <w:rPr>
          <w:rFonts w:ascii="Palatino Linotype" w:hAnsi="Palatino Linotype"/>
        </w:rPr>
        <w:t xml:space="preserve">- </w:t>
      </w:r>
      <w:r w:rsidR="004C2D8C" w:rsidRPr="00E71B01">
        <w:rPr>
          <w:rFonts w:ascii="Palatino Linotype" w:hAnsi="Palatino Linotype"/>
        </w:rPr>
        <w:t xml:space="preserve">Dịch vụ giáo dục: </w:t>
      </w:r>
      <w:r>
        <w:rPr>
          <w:rFonts w:ascii="Palatino Linotype" w:hAnsi="Palatino Linotype"/>
        </w:rPr>
        <w:t>C</w:t>
      </w:r>
      <w:r w:rsidR="004C2D8C" w:rsidRPr="00E71B01">
        <w:rPr>
          <w:rFonts w:ascii="Palatino Linotype" w:hAnsi="Palatino Linotype"/>
        </w:rPr>
        <w:t xml:space="preserve">ác chương trình, chính sách an sinh trong lĩnh vực giáo dục mới chỉ tập trung vào nhóm đối tượng trẻ em trong bậc học mầm non đến trung học cơ sở. Việc phổ biến thông tin thông qua hình thức giáo dục nâng cao nhận thức đến các nhóm khác như thanh niên, người già, người lao động…chưa thật sự được chú trọng. Người dân ở đây cần nhiều lớp </w:t>
      </w:r>
      <w:r>
        <w:rPr>
          <w:rFonts w:ascii="Palatino Linotype" w:hAnsi="Palatino Linotype"/>
        </w:rPr>
        <w:t>học</w:t>
      </w:r>
      <w:r w:rsidR="004C2D8C" w:rsidRPr="00E71B01">
        <w:rPr>
          <w:rFonts w:ascii="Palatino Linotype" w:hAnsi="Palatino Linotype"/>
        </w:rPr>
        <w:t xml:space="preserve"> với hình thức giáo dục cộng đồng </w:t>
      </w:r>
      <w:r w:rsidR="00FF314B">
        <w:rPr>
          <w:rFonts w:ascii="Palatino Linotype" w:hAnsi="Palatino Linotype"/>
        </w:rPr>
        <w:t xml:space="preserve">về xóa mù chữ, cung cấp </w:t>
      </w:r>
      <w:r w:rsidR="004C2D8C" w:rsidRPr="00E71B01">
        <w:rPr>
          <w:rFonts w:ascii="Palatino Linotype" w:hAnsi="Palatino Linotype"/>
        </w:rPr>
        <w:t>kiến thức chăm sóc sức khỏe, sinh kế cho hộ</w:t>
      </w:r>
      <w:r w:rsidR="00FF314B">
        <w:rPr>
          <w:rFonts w:ascii="Palatino Linotype" w:hAnsi="Palatino Linotype"/>
        </w:rPr>
        <w:t xml:space="preserve"> gia đình,…</w:t>
      </w:r>
    </w:p>
    <w:p w:rsidR="00FB7A7C" w:rsidRDefault="004C2D8C" w:rsidP="00AC764C">
      <w:pPr>
        <w:spacing w:before="120" w:after="0" w:line="320" w:lineRule="atLeast"/>
        <w:jc w:val="both"/>
        <w:rPr>
          <w:rFonts w:ascii="Palatino Linotype" w:hAnsi="Palatino Linotype"/>
        </w:rPr>
      </w:pPr>
      <w:r w:rsidRPr="00E71B01">
        <w:rPr>
          <w:rFonts w:ascii="Palatino Linotype" w:hAnsi="Palatino Linotype"/>
        </w:rPr>
        <w:lastRenderedPageBreak/>
        <w:tab/>
      </w:r>
      <w:r w:rsidR="004833C5">
        <w:rPr>
          <w:rFonts w:ascii="Palatino Linotype" w:hAnsi="Palatino Linotype"/>
        </w:rPr>
        <w:t xml:space="preserve">- </w:t>
      </w:r>
      <w:r w:rsidRPr="00E71B01">
        <w:rPr>
          <w:rFonts w:ascii="Palatino Linotype" w:hAnsi="Palatino Linotype"/>
        </w:rPr>
        <w:t>Dịch vụ y tế: Cơ sở cung cấp dịch vụ y tế tại địa bàn được thực hiện thông qua trạm y tế địa phương. Bao gồm các hoạt động khám chữa bệnh và chăm sóc sức khỏe ban đầu. Tuy nhiên, với cơ sở vật chất còn hạn hẹp, đội ngũ y bác sỹ chưa nhiều (01 bác sỹ tại trạm) nên việc cung cấp dịch vụ chưa thật sự chuyên nghiệp. Chẳng hạn các buổi tuyên truyền giáo dục sức khỏe mới chỉ là hoạt động lồng ghép trong các buổi họp, hay trong khám chữa bệnh cho bệnh nhân đến thăm khám tại trạm, ít/chưa có hoạt động thực hiện tại cộng đồng dành cho những đối tượng đặc thù như cư dân vạn đò.</w:t>
      </w:r>
    </w:p>
    <w:p w:rsidR="004C2D8C" w:rsidRPr="00FB7A7C" w:rsidRDefault="00FB7A7C" w:rsidP="00AC764C">
      <w:pPr>
        <w:spacing w:before="120" w:after="0" w:line="320" w:lineRule="atLeast"/>
        <w:jc w:val="both"/>
        <w:rPr>
          <w:rFonts w:ascii="Palatino Linotype" w:hAnsi="Palatino Linotype"/>
        </w:rPr>
      </w:pPr>
      <w:r>
        <w:rPr>
          <w:rFonts w:ascii="Palatino Linotype" w:hAnsi="Palatino Linotype"/>
          <w:b/>
          <w:i/>
        </w:rPr>
        <w:t>3.3</w:t>
      </w:r>
      <w:r w:rsidR="004C2D8C" w:rsidRPr="00E71B01">
        <w:rPr>
          <w:rFonts w:ascii="Palatino Linotype" w:hAnsi="Palatino Linotype"/>
          <w:b/>
          <w:i/>
        </w:rPr>
        <w:t>. Sự trợ giúp của cộng đồng</w:t>
      </w:r>
    </w:p>
    <w:p w:rsidR="007243A8" w:rsidRPr="0039292F" w:rsidRDefault="004C2D8C" w:rsidP="00AC764C">
      <w:pPr>
        <w:spacing w:before="120" w:after="0" w:line="320" w:lineRule="atLeast"/>
        <w:jc w:val="both"/>
        <w:rPr>
          <w:rFonts w:ascii="Palatino Linotype" w:hAnsi="Palatino Linotype"/>
        </w:rPr>
      </w:pPr>
      <w:r w:rsidRPr="00E71B01">
        <w:rPr>
          <w:rFonts w:ascii="Palatino Linotype" w:hAnsi="Palatino Linotype"/>
        </w:rPr>
        <w:tab/>
      </w:r>
      <w:r w:rsidRPr="009955C7">
        <w:rPr>
          <w:rFonts w:ascii="Palatino Linotype" w:hAnsi="Palatino Linotype"/>
        </w:rPr>
        <w:t>Sự trợ giúp của cộng đồng là một yếu tố quan trọ</w:t>
      </w:r>
      <w:r w:rsidR="00CB4374" w:rsidRPr="009955C7">
        <w:rPr>
          <w:rFonts w:ascii="Palatino Linotype" w:hAnsi="Palatino Linotype"/>
        </w:rPr>
        <w:t>ng trong việc</w:t>
      </w:r>
      <w:r w:rsidRPr="009955C7">
        <w:rPr>
          <w:rFonts w:ascii="Palatino Linotype" w:hAnsi="Palatino Linotype"/>
        </w:rPr>
        <w:t xml:space="preserve"> mở rộng cơ hội tham gia an sinh xã hội cho các nhóm đối tượng yếu thế, đặc biệt trong điều kiện nhà nước đang gặp nhiều khó khăn về kinh tế như hiện nay.</w:t>
      </w:r>
      <w:r w:rsidR="004833C5" w:rsidRPr="009955C7">
        <w:rPr>
          <w:rFonts w:ascii="Palatino Linotype" w:hAnsi="Palatino Linotype"/>
        </w:rPr>
        <w:t xml:space="preserve"> </w:t>
      </w:r>
      <w:r w:rsidRPr="009955C7">
        <w:rPr>
          <w:rFonts w:ascii="Palatino Linotype" w:hAnsi="Palatino Linotype"/>
        </w:rPr>
        <w:t>Tại địa bàn nghiên cứu, chính quyền đị</w:t>
      </w:r>
      <w:r w:rsidR="00EC7BD8" w:rsidRPr="009955C7">
        <w:rPr>
          <w:rFonts w:ascii="Palatino Linotype" w:hAnsi="Palatino Linotype"/>
        </w:rPr>
        <w:t>a phương</w:t>
      </w:r>
      <w:r w:rsidRPr="009955C7">
        <w:rPr>
          <w:rFonts w:ascii="Palatino Linotype" w:hAnsi="Palatino Linotype"/>
        </w:rPr>
        <w:t xml:space="preserve"> luôn khuyến khích các cá nhân, tổ chức phi chính phủ, các doanh nghiệp… tham gia vào việc hỗ trợ cho cư dân vạn đò ổn định cuộc sống, tìm kiếm cơ hội việ</w:t>
      </w:r>
      <w:r w:rsidR="00EC7BD8" w:rsidRPr="009955C7">
        <w:rPr>
          <w:rFonts w:ascii="Palatino Linotype" w:hAnsi="Palatino Linotype"/>
        </w:rPr>
        <w:t xml:space="preserve">c làm. </w:t>
      </w:r>
      <w:r w:rsidR="006A397E">
        <w:rPr>
          <w:rFonts w:ascii="Palatino Linotype" w:hAnsi="Palatino Linotype"/>
        </w:rPr>
        <w:t>Các tổ chức xã hội</w:t>
      </w:r>
      <w:r w:rsidR="003D752D">
        <w:rPr>
          <w:rFonts w:ascii="Palatino Linotype" w:hAnsi="Palatino Linotype"/>
        </w:rPr>
        <w:t xml:space="preserve"> trong và ngoài nước</w:t>
      </w:r>
      <w:r w:rsidR="006A397E">
        <w:rPr>
          <w:rFonts w:ascii="Palatino Linotype" w:hAnsi="Palatino Linotype"/>
        </w:rPr>
        <w:t xml:space="preserve"> </w:t>
      </w:r>
      <w:r w:rsidR="003D752D">
        <w:rPr>
          <w:rFonts w:ascii="Palatino Linotype" w:hAnsi="Palatino Linotype"/>
        </w:rPr>
        <w:t xml:space="preserve">như Trung tâm Phát triển cộng đồng và Công tác xã hội Huế (CODES), Hội Phật giáo Huế, </w:t>
      </w:r>
      <w:r w:rsidR="003D752D">
        <w:rPr>
          <w:rFonts w:ascii="Palatino Linotype" w:eastAsia="Times New Roman" w:hAnsi="Palatino Linotype"/>
          <w:color w:val="000000"/>
          <w:szCs w:val="24"/>
          <w:lang w:eastAsia="vi-VN"/>
        </w:rPr>
        <w:t>t</w:t>
      </w:r>
      <w:r w:rsidR="003D752D" w:rsidRPr="00D05C23">
        <w:rPr>
          <w:rFonts w:ascii="Palatino Linotype" w:eastAsia="Times New Roman" w:hAnsi="Palatino Linotype"/>
          <w:color w:val="000000"/>
          <w:szCs w:val="24"/>
          <w:lang w:val="vi-VN" w:eastAsia="vi-VN"/>
        </w:rPr>
        <w:t>ổ chức SOS</w:t>
      </w:r>
      <w:r w:rsidR="003D752D">
        <w:rPr>
          <w:rFonts w:ascii="Palatino Linotype" w:eastAsia="Times New Roman" w:hAnsi="Palatino Linotype"/>
          <w:color w:val="000000"/>
          <w:szCs w:val="24"/>
          <w:lang w:eastAsia="vi-VN"/>
        </w:rPr>
        <w:t>, t</w:t>
      </w:r>
      <w:r w:rsidR="003D752D" w:rsidRPr="003D752D">
        <w:rPr>
          <w:rFonts w:ascii="Palatino Linotype" w:eastAsia="Times New Roman" w:hAnsi="Palatino Linotype"/>
          <w:color w:val="000000"/>
          <w:szCs w:val="24"/>
          <w:lang w:eastAsia="vi-VN"/>
        </w:rPr>
        <w:t>ổ chức BRETAGNE</w:t>
      </w:r>
      <w:r w:rsidR="001D5AF4">
        <w:rPr>
          <w:rFonts w:ascii="Palatino Linotype" w:eastAsia="Times New Roman" w:hAnsi="Palatino Linotype"/>
          <w:color w:val="000000"/>
          <w:szCs w:val="24"/>
          <w:lang w:eastAsia="vi-VN"/>
        </w:rPr>
        <w:t xml:space="preserve"> </w:t>
      </w:r>
      <w:r w:rsidR="003D752D" w:rsidRPr="003D752D">
        <w:rPr>
          <w:rFonts w:ascii="Palatino Linotype" w:eastAsia="Times New Roman" w:hAnsi="Palatino Linotype"/>
          <w:color w:val="000000"/>
          <w:szCs w:val="24"/>
          <w:lang w:eastAsia="vi-VN"/>
        </w:rPr>
        <w:t>(Pháp)</w:t>
      </w:r>
      <w:r w:rsidR="003D752D">
        <w:rPr>
          <w:rFonts w:ascii="Palatino Linotype" w:eastAsia="Times New Roman" w:hAnsi="Palatino Linotype"/>
          <w:color w:val="000000"/>
          <w:szCs w:val="24"/>
          <w:lang w:eastAsia="vi-VN"/>
        </w:rPr>
        <w:t>, t</w:t>
      </w:r>
      <w:r w:rsidR="003D752D" w:rsidRPr="00D05C23">
        <w:rPr>
          <w:rFonts w:ascii="Palatino Linotype" w:eastAsia="Times New Roman" w:hAnsi="Palatino Linotype"/>
          <w:color w:val="000000"/>
          <w:szCs w:val="24"/>
          <w:lang w:val="vi-VN" w:eastAsia="vi-VN"/>
        </w:rPr>
        <w:t>ổ chức Zhi Shan (Đài Loan)</w:t>
      </w:r>
      <w:r w:rsidR="003D752D">
        <w:rPr>
          <w:rFonts w:ascii="Palatino Linotype" w:eastAsia="Times New Roman" w:hAnsi="Palatino Linotype"/>
          <w:color w:val="000000"/>
          <w:szCs w:val="24"/>
          <w:lang w:eastAsia="vi-VN"/>
        </w:rPr>
        <w:t xml:space="preserve"> đã hỗ trợ bằng nhiều hình thức khác nhau nhằm giúp cho cư dân vạn đò ổn định cuộc sống hậu tái định cư.</w:t>
      </w:r>
      <w:r w:rsidR="0039292F">
        <w:rPr>
          <w:rFonts w:ascii="Palatino Linotype" w:hAnsi="Palatino Linotype"/>
        </w:rPr>
        <w:t xml:space="preserve"> </w:t>
      </w:r>
      <w:r w:rsidR="00A23DD0">
        <w:rPr>
          <w:rFonts w:ascii="Palatino Linotype" w:hAnsi="Palatino Linotype"/>
        </w:rPr>
        <w:t>“</w:t>
      </w:r>
      <w:r w:rsidR="007243A8" w:rsidRPr="007243A8">
        <w:rPr>
          <w:rFonts w:ascii="Palatino Linotype" w:hAnsi="Palatino Linotype"/>
          <w:i/>
        </w:rPr>
        <w:t xml:space="preserve">Chúng tôi xác định việc ổn định cuộc sống cho dân vạn đò sau tái định cư là việc phải làm nhanh chóng và cần đến nhiều chính sách an sinh xã hội. </w:t>
      </w:r>
      <w:r w:rsidR="003E0544">
        <w:rPr>
          <w:rFonts w:ascii="Palatino Linotype" w:hAnsi="Palatino Linotype"/>
          <w:i/>
        </w:rPr>
        <w:t>Tuy nhiên, hiện</w:t>
      </w:r>
      <w:r w:rsidR="007243A8" w:rsidRPr="007243A8">
        <w:rPr>
          <w:rFonts w:ascii="Palatino Linotype" w:hAnsi="Palatino Linotype"/>
          <w:i/>
        </w:rPr>
        <w:t xml:space="preserve"> vẫn còn một số </w:t>
      </w:r>
      <w:r w:rsidR="003E0544">
        <w:rPr>
          <w:rFonts w:ascii="Palatino Linotype" w:hAnsi="Palatino Linotype"/>
          <w:i/>
        </w:rPr>
        <w:t xml:space="preserve">hộ </w:t>
      </w:r>
      <w:r w:rsidR="007243A8" w:rsidRPr="007243A8">
        <w:rPr>
          <w:rFonts w:ascii="Palatino Linotype" w:hAnsi="Palatino Linotype"/>
          <w:i/>
        </w:rPr>
        <w:t>chưa có nhà ở, đất ở do tách khẩu nhưng vì gia đình không nằm trong diện được cấp nên chúng tôi cũng rất khó khăn để giải quyết. Vì vậy, chúng tôi rất khuyến khích sự giúp đỡ của cộng đồng và xã hội, của các nhà hảo tâm để cư dân vạn đò sớm ổn định cuộc sống sau tái định cư</w:t>
      </w:r>
      <w:r w:rsidR="007243A8">
        <w:rPr>
          <w:rStyle w:val="FootnoteReference"/>
          <w:rFonts w:ascii="Palatino Linotype" w:hAnsi="Palatino Linotype"/>
          <w:i/>
        </w:rPr>
        <w:footnoteReference w:id="4"/>
      </w:r>
      <w:r w:rsidR="007243A8" w:rsidRPr="007243A8">
        <w:rPr>
          <w:rFonts w:ascii="Palatino Linotype" w:hAnsi="Palatino Linotype"/>
          <w:i/>
        </w:rPr>
        <w:t>.</w:t>
      </w:r>
      <w:r w:rsidR="00A23DD0">
        <w:rPr>
          <w:rFonts w:ascii="Palatino Linotype" w:hAnsi="Palatino Linotype"/>
          <w:i/>
        </w:rPr>
        <w:t>”</w:t>
      </w:r>
    </w:p>
    <w:p w:rsidR="00697FD8" w:rsidRPr="007243A8" w:rsidRDefault="00697FD8" w:rsidP="00AC764C">
      <w:pPr>
        <w:spacing w:before="120" w:after="0" w:line="320" w:lineRule="atLeast"/>
        <w:jc w:val="both"/>
        <w:rPr>
          <w:rFonts w:ascii="Palatino Linotype" w:hAnsi="Palatino Linotype"/>
        </w:rPr>
      </w:pPr>
      <w:r w:rsidRPr="00E71B01">
        <w:rPr>
          <w:rFonts w:ascii="Palatino Linotype" w:hAnsi="Palatino Linotype"/>
          <w:b/>
        </w:rPr>
        <w:t>4.</w:t>
      </w:r>
      <w:r w:rsidRPr="00E71B01">
        <w:rPr>
          <w:rFonts w:ascii="Palatino Linotype" w:hAnsi="Palatino Linotype"/>
        </w:rPr>
        <w:t xml:space="preserve"> </w:t>
      </w:r>
      <w:r w:rsidRPr="00E71B01">
        <w:rPr>
          <w:rFonts w:ascii="Palatino Linotype" w:hAnsi="Palatino Linotype"/>
          <w:b/>
        </w:rPr>
        <w:t>Đề xuất một số giải pháp nâng cao hiệu quả tiếp cận dịch vụ xã hội cơ bản cho cư dân vạn đò tại khu tái định cư</w:t>
      </w:r>
    </w:p>
    <w:p w:rsidR="00697FD8" w:rsidRPr="00E71B01" w:rsidRDefault="001D6942" w:rsidP="00AC764C">
      <w:pPr>
        <w:spacing w:before="120" w:after="0" w:line="320" w:lineRule="atLeast"/>
        <w:jc w:val="both"/>
        <w:rPr>
          <w:rFonts w:ascii="Palatino Linotype" w:hAnsi="Palatino Linotype"/>
          <w:b/>
          <w:i/>
        </w:rPr>
      </w:pPr>
      <w:r w:rsidRPr="00E71B01">
        <w:rPr>
          <w:rFonts w:ascii="Palatino Linotype" w:hAnsi="Palatino Linotype"/>
          <w:b/>
          <w:i/>
        </w:rPr>
        <w:t>4</w:t>
      </w:r>
      <w:r w:rsidR="00697FD8" w:rsidRPr="00E71B01">
        <w:rPr>
          <w:rFonts w:ascii="Palatino Linotype" w:hAnsi="Palatino Linotype"/>
          <w:b/>
          <w:i/>
        </w:rPr>
        <w:t>.1. Giáo dục nâng cao nhận thức cho người dân</w:t>
      </w:r>
    </w:p>
    <w:p w:rsidR="00697FD8" w:rsidRPr="00E71B01" w:rsidRDefault="00697FD8" w:rsidP="00AC764C">
      <w:pPr>
        <w:spacing w:before="120" w:after="0" w:line="320" w:lineRule="atLeast"/>
        <w:jc w:val="both"/>
        <w:rPr>
          <w:rFonts w:ascii="Palatino Linotype" w:hAnsi="Palatino Linotype"/>
        </w:rPr>
      </w:pPr>
      <w:r w:rsidRPr="00E71B01">
        <w:rPr>
          <w:rFonts w:ascii="Palatino Linotype" w:hAnsi="Palatino Linotype"/>
        </w:rPr>
        <w:tab/>
        <w:t xml:space="preserve">Để thích ứng kịp với cuộc sống tại nơi ở mới, cư dân </w:t>
      </w:r>
      <w:r w:rsidR="001B58A6">
        <w:rPr>
          <w:rFonts w:ascii="Palatino Linotype" w:hAnsi="Palatino Linotype"/>
        </w:rPr>
        <w:t>vạn đò</w:t>
      </w:r>
      <w:r w:rsidRPr="00E71B01">
        <w:rPr>
          <w:rFonts w:ascii="Palatino Linotype" w:hAnsi="Palatino Linotype"/>
        </w:rPr>
        <w:t xml:space="preserve"> cần có thêm nhiều kiến thức và kỹ năng xã hội. Do đó, việc tổ chức các hình thức giáo dục là điều hết sức cần thiết. Ngoài các hoạt động đã được triển khai tại địa phương như mở lớp xóa mù, lớp học tình thương dành cho trẻ em, hỗ trợ đào tạo nghề thì giáo dục nâng cao nhận thức còn bao gồm cả việc truyền thông để nâng cao hiểu biết các chính sách an sinh xã hội của Đảng và Nhà nước, các chương trình trợ giúp của cộng đồng. Nhân viên công tác xã hội cần có những hình thức tuyên truyền phù hợp với khả năng nhận thức của cư dân vạn đò. Hình thức có thể là tiếp cận người dân và phổ biến trực tiếp, phát qua loa truyền thanh tại tổ dân phố, truyền thông bằng hình ảnh và các từ ngữ dễ hiểu…</w:t>
      </w:r>
    </w:p>
    <w:p w:rsidR="00697FD8" w:rsidRPr="00E71B01" w:rsidRDefault="007B3F5C" w:rsidP="00AC764C">
      <w:pPr>
        <w:spacing w:before="120" w:after="0" w:line="320" w:lineRule="atLeast"/>
        <w:jc w:val="both"/>
        <w:rPr>
          <w:rFonts w:ascii="Palatino Linotype" w:hAnsi="Palatino Linotype"/>
          <w:b/>
          <w:i/>
        </w:rPr>
      </w:pPr>
      <w:r w:rsidRPr="00E71B01">
        <w:rPr>
          <w:rFonts w:ascii="Palatino Linotype" w:hAnsi="Palatino Linotype"/>
          <w:b/>
          <w:i/>
        </w:rPr>
        <w:t>4</w:t>
      </w:r>
      <w:r w:rsidR="00697FD8" w:rsidRPr="00E71B01">
        <w:rPr>
          <w:rFonts w:ascii="Palatino Linotype" w:hAnsi="Palatino Linotype"/>
          <w:b/>
          <w:i/>
        </w:rPr>
        <w:t xml:space="preserve">.2. </w:t>
      </w:r>
      <w:r w:rsidR="000854F8">
        <w:rPr>
          <w:rFonts w:ascii="Palatino Linotype" w:hAnsi="Palatino Linotype"/>
          <w:b/>
          <w:i/>
        </w:rPr>
        <w:t>Hỗ trợ kết nối dịch vụ công tác xã hội</w:t>
      </w:r>
    </w:p>
    <w:p w:rsidR="00697FD8" w:rsidRPr="00E71B01" w:rsidRDefault="00697FD8" w:rsidP="00AC764C">
      <w:pPr>
        <w:spacing w:before="120" w:after="0" w:line="320" w:lineRule="atLeast"/>
        <w:jc w:val="both"/>
        <w:rPr>
          <w:rFonts w:ascii="Palatino Linotype" w:hAnsi="Palatino Linotype"/>
        </w:rPr>
      </w:pPr>
      <w:r w:rsidRPr="00E71B01">
        <w:rPr>
          <w:rFonts w:ascii="Palatino Linotype" w:hAnsi="Palatino Linotype"/>
        </w:rPr>
        <w:lastRenderedPageBreak/>
        <w:tab/>
      </w:r>
      <w:r w:rsidR="000854F8">
        <w:rPr>
          <w:rFonts w:ascii="Palatino Linotype" w:hAnsi="Palatino Linotype"/>
        </w:rPr>
        <w:t>Bên cạnh các dịch vụ xã hội cơ bản của hệ thống an sinh xã hội nhà nước, cư dân vạn đò cần được tạo điều kiện để kết nối tới các dịch vụ công tác xã hội nhằm đảm bảo cuộc sống hậu tái định cư.</w:t>
      </w:r>
      <w:r w:rsidR="00D93C5B">
        <w:rPr>
          <w:rFonts w:ascii="Palatino Linotype" w:hAnsi="Palatino Linotype"/>
        </w:rPr>
        <w:t xml:space="preserve"> </w:t>
      </w:r>
      <w:r w:rsidR="00BB13D0">
        <w:rPr>
          <w:rFonts w:ascii="Palatino Linotype" w:hAnsi="Palatino Linotype"/>
        </w:rPr>
        <w:t>“</w:t>
      </w:r>
      <w:r w:rsidR="00CF36FB" w:rsidRPr="00CF36FB">
        <w:rPr>
          <w:rFonts w:ascii="Palatino Linotype" w:hAnsi="Palatino Linotype"/>
        </w:rPr>
        <w:t>Dịch vụ công tác xã hội là những dịch vụ hướng đến nhóm đối tượng yếu thế để thực hiện quyền cơ bản của con người trong phát triển bền vững. Các dịch vụ công tác xã hội hoạt động dưới nhiều hình thức, cụ thể hóa các luật pháp, chính sách nhà nước về các lĩnh vực phúc lợi xã hội, y tế, giáo dục, pháp lý…cung cấp trợ giúp cho các cá nhân, nhóm, cộng đồng khắc phục các khó khăn, giảm thiểu những rào cản và bất bình đẳng xã hội” [2, tr.59].</w:t>
      </w:r>
      <w:r w:rsidR="00BB13D0">
        <w:rPr>
          <w:rFonts w:ascii="Palatino Linotype" w:hAnsi="Palatino Linotype"/>
        </w:rPr>
        <w:t xml:space="preserve"> </w:t>
      </w:r>
      <w:r w:rsidRPr="00E71B01">
        <w:rPr>
          <w:rFonts w:ascii="Palatino Linotype" w:hAnsi="Palatino Linotype"/>
        </w:rPr>
        <w:t>Những hạn chế trong việc tiếp cận dịch vụ xã hội cơ bản của cư dân thủy diện tái định cư phần lớn xuất phát từ năng lực sử dụng chính sách của người dân. Do vậy, việc kết nối họ tới các dịch vụ công tác xã hội như tham vấn gia đình, tư vấn hỗ trợ việc làm, tư vấn pháp luật, hướng nghiệp và đào tạo nghề…là điều quan trọng để tạo ra cơ hội tiếp cận hệ thống nguồn lực (chính thức và không chính thức) một cách hiệu quả hơn.</w:t>
      </w:r>
    </w:p>
    <w:p w:rsidR="00697FD8" w:rsidRPr="00E71B01" w:rsidRDefault="0007758F" w:rsidP="00AC764C">
      <w:pPr>
        <w:spacing w:before="120" w:after="0" w:line="320" w:lineRule="atLeast"/>
        <w:jc w:val="both"/>
        <w:rPr>
          <w:rFonts w:ascii="Palatino Linotype" w:hAnsi="Palatino Linotype"/>
          <w:b/>
        </w:rPr>
      </w:pPr>
      <w:r w:rsidRPr="00E71B01">
        <w:rPr>
          <w:rFonts w:ascii="Palatino Linotype" w:hAnsi="Palatino Linotype"/>
          <w:b/>
        </w:rPr>
        <w:t>5</w:t>
      </w:r>
      <w:r w:rsidR="00697FD8" w:rsidRPr="00E71B01">
        <w:rPr>
          <w:rFonts w:ascii="Palatino Linotype" w:hAnsi="Palatino Linotype"/>
          <w:b/>
        </w:rPr>
        <w:t>. Kết luận</w:t>
      </w:r>
    </w:p>
    <w:p w:rsidR="00211FFC" w:rsidRPr="00444151" w:rsidRDefault="00697FD8" w:rsidP="00AC764C">
      <w:pPr>
        <w:spacing w:before="120" w:after="0" w:line="320" w:lineRule="atLeast"/>
        <w:jc w:val="both"/>
        <w:rPr>
          <w:rFonts w:ascii="Palatino Linotype" w:hAnsi="Palatino Linotype"/>
          <w:b/>
        </w:rPr>
      </w:pPr>
      <w:r w:rsidRPr="00E71B01">
        <w:rPr>
          <w:rFonts w:ascii="Palatino Linotype" w:hAnsi="Palatino Linotype"/>
        </w:rPr>
        <w:tab/>
        <w:t xml:space="preserve">Dịch vụ xã hội cơ bản chiếm vai trò quan trọng trong đáp ứng những nhu cầu tối thiểu của người dân, đặc biệt là nhóm cư dân trong các vùng tái định cư. Khi những nhu cầu cơ bản được đáp ứng thì người dân sẽ yên tâm sinh sống lâu dài và phát triển cuộc sống tại </w:t>
      </w:r>
      <w:r w:rsidR="00DE363D">
        <w:rPr>
          <w:rFonts w:ascii="Palatino Linotype" w:hAnsi="Palatino Linotype"/>
        </w:rPr>
        <w:t xml:space="preserve">nơi ở mới. </w:t>
      </w:r>
      <w:r w:rsidRPr="00E71B01">
        <w:rPr>
          <w:rFonts w:ascii="Palatino Linotype" w:hAnsi="Palatino Linotype"/>
        </w:rPr>
        <w:t xml:space="preserve">Từ thực tế khảo sát, có thể thấy rằng, Nhà nước và chính quyền địa phương đã tính đến việc bao phủ dịch vụ xã hội cơ bản cho cư dân </w:t>
      </w:r>
      <w:r w:rsidR="003615FA">
        <w:rPr>
          <w:rFonts w:ascii="Palatino Linotype" w:hAnsi="Palatino Linotype"/>
        </w:rPr>
        <w:t>vạn đò</w:t>
      </w:r>
      <w:r w:rsidRPr="00E71B01">
        <w:rPr>
          <w:rFonts w:ascii="Palatino Linotype" w:hAnsi="Palatino Linotype"/>
        </w:rPr>
        <w:t xml:space="preserve"> tái định cư. Tuy nhiên, khả năng tiếp cận và sử dụng chính sách của nhóm yếu thế này vẫn gặp rất nhiều rào cản, khiến họ ít có cơ hội tham gia và thụ hưởng chính sách. </w:t>
      </w:r>
      <w:r w:rsidR="00A41CFA" w:rsidRPr="00A41CFA">
        <w:rPr>
          <w:rFonts w:ascii="Palatino Linotype" w:hAnsi="Palatino Linotype"/>
        </w:rPr>
        <w:t>Do đó, thiết kế các chương trình tái định cư trong thời gian tới, cần thiết phải chú trọng tới yếu tố bao phủ mạng lướ</w:t>
      </w:r>
      <w:r w:rsidR="00A41CFA">
        <w:rPr>
          <w:rFonts w:ascii="Palatino Linotype" w:hAnsi="Palatino Linotype"/>
        </w:rPr>
        <w:t>i d</w:t>
      </w:r>
      <w:r w:rsidR="00A41CFA" w:rsidRPr="00A41CFA">
        <w:rPr>
          <w:rFonts w:ascii="Palatino Linotype" w:hAnsi="Palatino Linotype"/>
        </w:rPr>
        <w:t>ịch vụ xã hội cơ bản, đó cũng là yêu cầu cấp thiết không chỉ đối với người dân trong vùng tái định cư mà còn là yếu tố nhằm đảm bảo an sinh xã hội bền vững cho người dân./.</w:t>
      </w:r>
    </w:p>
    <w:p w:rsidR="00E8751E" w:rsidRPr="004F571F" w:rsidRDefault="00E8751E" w:rsidP="00AC764C">
      <w:pPr>
        <w:spacing w:before="120" w:after="0" w:line="320" w:lineRule="atLeast"/>
        <w:jc w:val="center"/>
        <w:rPr>
          <w:rFonts w:ascii="Palatino Linotype" w:hAnsi="Palatino Linotype"/>
          <w:b/>
        </w:rPr>
      </w:pPr>
      <w:r w:rsidRPr="004F571F">
        <w:rPr>
          <w:rFonts w:ascii="Palatino Linotype" w:hAnsi="Palatino Linotype"/>
          <w:b/>
        </w:rPr>
        <w:t>TÀI LIỆU THAM KHẢO</w:t>
      </w:r>
    </w:p>
    <w:p w:rsidR="00A52AE5" w:rsidRPr="00921CAD" w:rsidRDefault="00921CAD" w:rsidP="00921CAD">
      <w:pPr>
        <w:pStyle w:val="ListParagraph"/>
        <w:numPr>
          <w:ilvl w:val="0"/>
          <w:numId w:val="12"/>
        </w:numPr>
        <w:spacing w:before="120" w:after="0" w:line="320" w:lineRule="atLeast"/>
        <w:jc w:val="both"/>
        <w:rPr>
          <w:rFonts w:ascii="Palatino Linotype" w:hAnsi="Palatino Linotype"/>
          <w:i/>
        </w:rPr>
      </w:pPr>
      <w:r>
        <w:rPr>
          <w:rFonts w:ascii="Palatino Linotype" w:hAnsi="Palatino Linotype"/>
        </w:rPr>
        <w:t>Ban chấp hành trung ương</w:t>
      </w:r>
      <w:r w:rsidR="008A1C0A" w:rsidRPr="004F571F">
        <w:rPr>
          <w:rFonts w:ascii="Palatino Linotype" w:hAnsi="Palatino Linotype"/>
        </w:rPr>
        <w:t xml:space="preserve"> </w:t>
      </w:r>
      <w:r>
        <w:rPr>
          <w:rFonts w:ascii="Palatino Linotype" w:hAnsi="Palatino Linotype"/>
        </w:rPr>
        <w:t xml:space="preserve">Đảng </w:t>
      </w:r>
      <w:r w:rsidR="008A1C0A" w:rsidRPr="004F571F">
        <w:rPr>
          <w:rFonts w:ascii="Palatino Linotype" w:hAnsi="Palatino Linotype"/>
        </w:rPr>
        <w:t>(201</w:t>
      </w:r>
      <w:r>
        <w:rPr>
          <w:rFonts w:ascii="Palatino Linotype" w:hAnsi="Palatino Linotype"/>
        </w:rPr>
        <w:t>2</w:t>
      </w:r>
      <w:r w:rsidR="008A1C0A" w:rsidRPr="004F571F">
        <w:rPr>
          <w:rFonts w:ascii="Palatino Linotype" w:hAnsi="Palatino Linotype"/>
        </w:rPr>
        <w:t xml:space="preserve">), </w:t>
      </w:r>
      <w:r>
        <w:rPr>
          <w:rFonts w:ascii="Palatino Linotype" w:hAnsi="Palatino Linotype"/>
          <w:i/>
        </w:rPr>
        <w:t xml:space="preserve">Nghị quyết </w:t>
      </w:r>
      <w:r w:rsidRPr="00921CAD">
        <w:rPr>
          <w:rFonts w:ascii="Palatino Linotype" w:hAnsi="Palatino Linotype"/>
          <w:i/>
        </w:rPr>
        <w:t xml:space="preserve">hội nghị lần thứ năm ban chấp hành trung ương khóa </w:t>
      </w:r>
      <w:r w:rsidR="008E2750">
        <w:rPr>
          <w:rFonts w:ascii="Palatino Linotype" w:hAnsi="Palatino Linotype"/>
          <w:i/>
        </w:rPr>
        <w:t>XI</w:t>
      </w:r>
      <w:r w:rsidRPr="00921CAD">
        <w:rPr>
          <w:rFonts w:ascii="Palatino Linotype" w:hAnsi="Palatino Linotype"/>
          <w:i/>
        </w:rPr>
        <w:t xml:space="preserve"> một số vấn đề về chính sách xã hội giai đoạn 2012 - 2020</w:t>
      </w:r>
      <w:r w:rsidR="008A1C0A" w:rsidRPr="00921CAD">
        <w:rPr>
          <w:rFonts w:ascii="Palatino Linotype" w:hAnsi="Palatino Linotype"/>
        </w:rPr>
        <w:t>, Hà Nội.</w:t>
      </w:r>
    </w:p>
    <w:p w:rsidR="008A1C0A" w:rsidRPr="004F571F" w:rsidRDefault="008A1C0A" w:rsidP="00AC764C">
      <w:pPr>
        <w:pStyle w:val="ListParagraph"/>
        <w:numPr>
          <w:ilvl w:val="0"/>
          <w:numId w:val="12"/>
        </w:numPr>
        <w:spacing w:before="120" w:after="0" w:line="320" w:lineRule="atLeast"/>
        <w:jc w:val="both"/>
        <w:rPr>
          <w:rFonts w:ascii="Palatino Linotype" w:hAnsi="Palatino Linotype"/>
        </w:rPr>
      </w:pPr>
      <w:r w:rsidRPr="004F571F">
        <w:rPr>
          <w:rFonts w:ascii="Palatino Linotype" w:eastAsia="Times New Roman" w:hAnsi="Palatino Linotype"/>
        </w:rPr>
        <w:t xml:space="preserve"> </w:t>
      </w:r>
      <w:r w:rsidRPr="004F571F">
        <w:rPr>
          <w:rFonts w:ascii="Palatino Linotype" w:hAnsi="Palatino Linotype"/>
        </w:rPr>
        <w:t xml:space="preserve">Bùi Thị Thanh Hà (2015), </w:t>
      </w:r>
      <w:r w:rsidRPr="004F571F">
        <w:rPr>
          <w:rFonts w:ascii="Palatino Linotype" w:hAnsi="Palatino Linotype"/>
          <w:i/>
        </w:rPr>
        <w:t>Công tác xã hội trong đảm bảo mục tiêu an sinh xã hội ở Việt Nam</w:t>
      </w:r>
      <w:r w:rsidRPr="004F571F">
        <w:rPr>
          <w:rFonts w:ascii="Palatino Linotype" w:hAnsi="Palatino Linotype"/>
        </w:rPr>
        <w:t>, Tạp chí Xã hội học số 2 (130), tr.58 – 65.</w:t>
      </w:r>
    </w:p>
    <w:p w:rsidR="008A1C0A" w:rsidRPr="004F571F" w:rsidRDefault="008A1C0A" w:rsidP="00AC764C">
      <w:pPr>
        <w:pStyle w:val="ListParagraph"/>
        <w:numPr>
          <w:ilvl w:val="0"/>
          <w:numId w:val="12"/>
        </w:numPr>
        <w:spacing w:before="120" w:after="0" w:line="320" w:lineRule="atLeast"/>
        <w:jc w:val="both"/>
        <w:rPr>
          <w:rFonts w:ascii="Palatino Linotype" w:eastAsia="Times New Roman" w:hAnsi="Palatino Linotype"/>
        </w:rPr>
      </w:pPr>
      <w:r w:rsidRPr="004F571F">
        <w:rPr>
          <w:rFonts w:ascii="Palatino Linotype" w:eastAsia="Times New Roman" w:hAnsi="Palatino Linotype"/>
        </w:rPr>
        <w:t xml:space="preserve">Nguyễn Xuân Hồng (2012), </w:t>
      </w:r>
      <w:r w:rsidRPr="004F571F">
        <w:rPr>
          <w:rFonts w:ascii="Palatino Linotype" w:eastAsia="Times New Roman" w:hAnsi="Palatino Linotype"/>
          <w:i/>
        </w:rPr>
        <w:t>Cư dân vạn đò của thành phố Huế ở các khu định cư, tái định cư</w:t>
      </w:r>
      <w:r w:rsidRPr="004F571F">
        <w:rPr>
          <w:rFonts w:ascii="Palatino Linotype" w:eastAsia="Times New Roman" w:hAnsi="Palatino Linotype"/>
        </w:rPr>
        <w:t>, Tạp chí Huế Xưa &amp; Nay số 110 (3- 4/2012), tr. 78-91.</w:t>
      </w:r>
    </w:p>
    <w:p w:rsidR="00A52AE5" w:rsidRPr="004F571F" w:rsidRDefault="00A52AE5" w:rsidP="00AC764C">
      <w:pPr>
        <w:pStyle w:val="ListParagraph"/>
        <w:numPr>
          <w:ilvl w:val="0"/>
          <w:numId w:val="12"/>
        </w:numPr>
        <w:spacing w:before="120" w:after="0" w:line="320" w:lineRule="atLeast"/>
        <w:jc w:val="both"/>
        <w:rPr>
          <w:rFonts w:ascii="Palatino Linotype" w:eastAsia="Times New Roman" w:hAnsi="Palatino Linotype"/>
          <w:i/>
        </w:rPr>
      </w:pPr>
      <w:r w:rsidRPr="004F571F">
        <w:rPr>
          <w:rFonts w:ascii="Palatino Linotype" w:eastAsia="Times New Roman" w:hAnsi="Palatino Linotype"/>
        </w:rPr>
        <w:t xml:space="preserve">Viện Khoa học Lao động và Xã hội, cơ quan Hợp tác Phát triển Quốc tế Cộng hòa Liên bang Đức (2013), </w:t>
      </w:r>
      <w:r w:rsidRPr="004F571F">
        <w:rPr>
          <w:rFonts w:ascii="Palatino Linotype" w:eastAsia="Times New Roman" w:hAnsi="Palatino Linotype"/>
          <w:i/>
        </w:rPr>
        <w:t>Phát triển hệ thống An sinh xã hội ở Việt Nam đến năm 2020.</w:t>
      </w:r>
    </w:p>
    <w:p w:rsidR="00A52AE5" w:rsidRPr="004F571F" w:rsidRDefault="00A52AE5" w:rsidP="00AC764C">
      <w:pPr>
        <w:pStyle w:val="ListParagraph"/>
        <w:numPr>
          <w:ilvl w:val="0"/>
          <w:numId w:val="12"/>
        </w:numPr>
        <w:spacing w:before="120" w:after="0" w:line="320" w:lineRule="atLeast"/>
        <w:jc w:val="both"/>
        <w:rPr>
          <w:rFonts w:ascii="Palatino Linotype" w:eastAsia="Times New Roman" w:hAnsi="Palatino Linotype"/>
          <w:i/>
        </w:rPr>
      </w:pPr>
      <w:r w:rsidRPr="004F571F">
        <w:rPr>
          <w:rFonts w:ascii="Palatino Linotype" w:eastAsia="Times New Roman" w:hAnsi="Palatino Linotype"/>
        </w:rPr>
        <w:t xml:space="preserve">UBND phường Hương Sơ (2016), </w:t>
      </w:r>
      <w:r w:rsidRPr="004F571F">
        <w:rPr>
          <w:rFonts w:ascii="Palatino Linotype" w:eastAsia="Times New Roman" w:hAnsi="Palatino Linotype"/>
          <w:i/>
        </w:rPr>
        <w:t>Báo cáo tình hình kinh tế xã hội, văn hóa và an ninh quốc phòng năm 2016.</w:t>
      </w:r>
    </w:p>
    <w:p w:rsidR="00602D9A" w:rsidRDefault="00602D9A" w:rsidP="002927CD">
      <w:pPr>
        <w:spacing w:before="120" w:after="0" w:line="320" w:lineRule="atLeast"/>
        <w:ind w:left="567" w:right="567"/>
        <w:jc w:val="center"/>
        <w:rPr>
          <w:rFonts w:eastAsia="Times New Roman"/>
        </w:rPr>
      </w:pPr>
    </w:p>
    <w:p w:rsidR="00602D9A" w:rsidRDefault="00602D9A" w:rsidP="002927CD">
      <w:pPr>
        <w:spacing w:before="120" w:after="0" w:line="320" w:lineRule="atLeast"/>
        <w:ind w:left="567" w:right="567"/>
        <w:jc w:val="center"/>
        <w:rPr>
          <w:rFonts w:eastAsia="Times New Roman"/>
        </w:rPr>
      </w:pPr>
    </w:p>
    <w:p w:rsidR="002927CD" w:rsidRDefault="00975050" w:rsidP="002927CD">
      <w:pPr>
        <w:spacing w:before="120" w:after="0" w:line="320" w:lineRule="atLeast"/>
        <w:ind w:left="567" w:right="567"/>
        <w:jc w:val="center"/>
        <w:rPr>
          <w:rFonts w:ascii="Palatino Linotype" w:hAnsi="Palatino Linotype"/>
          <w:b/>
          <w:sz w:val="20"/>
          <w:szCs w:val="20"/>
        </w:rPr>
      </w:pPr>
      <w:r w:rsidRPr="00975050">
        <w:rPr>
          <w:rFonts w:ascii="Palatino Linotype" w:hAnsi="Palatino Linotype"/>
          <w:b/>
          <w:sz w:val="20"/>
          <w:szCs w:val="20"/>
        </w:rPr>
        <w:t xml:space="preserve">ACCESSING BASIC SOCIAL SERVICES OF BOAT COMMUNITY AT RESETTLEMENT AREA IN  HUONG SO WARD, HUE CITY, </w:t>
      </w:r>
    </w:p>
    <w:p w:rsidR="00975050" w:rsidRPr="00975050" w:rsidRDefault="00975050" w:rsidP="002927CD">
      <w:pPr>
        <w:spacing w:before="120" w:after="0" w:line="320" w:lineRule="atLeast"/>
        <w:ind w:left="567" w:right="567"/>
        <w:jc w:val="center"/>
        <w:rPr>
          <w:rFonts w:ascii="Palatino Linotype" w:hAnsi="Palatino Linotype"/>
          <w:b/>
          <w:sz w:val="20"/>
          <w:szCs w:val="20"/>
        </w:rPr>
      </w:pPr>
      <w:r w:rsidRPr="00975050">
        <w:rPr>
          <w:rFonts w:ascii="Palatino Linotype" w:hAnsi="Palatino Linotype"/>
          <w:b/>
          <w:sz w:val="20"/>
          <w:szCs w:val="20"/>
        </w:rPr>
        <w:t>THUA THIEN HUE PROVINCE</w:t>
      </w:r>
    </w:p>
    <w:p w:rsidR="00975050" w:rsidRPr="00975050" w:rsidRDefault="00975050" w:rsidP="00975050">
      <w:pPr>
        <w:spacing w:before="120" w:after="0" w:line="320" w:lineRule="atLeast"/>
        <w:ind w:left="567" w:right="567"/>
        <w:jc w:val="right"/>
        <w:rPr>
          <w:rFonts w:ascii="Palatino Linotype" w:hAnsi="Palatino Linotype"/>
          <w:b/>
          <w:sz w:val="20"/>
          <w:szCs w:val="20"/>
        </w:rPr>
      </w:pPr>
      <w:r w:rsidRPr="00975050">
        <w:rPr>
          <w:rFonts w:ascii="Palatino Linotype" w:hAnsi="Palatino Linotype"/>
          <w:b/>
          <w:sz w:val="20"/>
          <w:szCs w:val="20"/>
        </w:rPr>
        <w:t>Truong Thi Yen</w:t>
      </w:r>
    </w:p>
    <w:p w:rsidR="00975050" w:rsidRPr="00975050" w:rsidRDefault="00975050" w:rsidP="00975050">
      <w:pPr>
        <w:spacing w:before="120" w:after="0" w:line="320" w:lineRule="atLeast"/>
        <w:ind w:left="567" w:right="567"/>
        <w:jc w:val="right"/>
        <w:rPr>
          <w:rFonts w:ascii="Palatino Linotype" w:hAnsi="Palatino Linotype"/>
          <w:sz w:val="20"/>
          <w:szCs w:val="20"/>
        </w:rPr>
      </w:pPr>
      <w:r w:rsidRPr="00975050">
        <w:rPr>
          <w:rFonts w:ascii="Palatino Linotype" w:hAnsi="Palatino Linotype"/>
          <w:sz w:val="20"/>
          <w:szCs w:val="20"/>
        </w:rPr>
        <w:t>Faculty of Social Work, University of Sciences, Hue University</w:t>
      </w:r>
    </w:p>
    <w:p w:rsidR="00975050" w:rsidRDefault="00975050" w:rsidP="00975050">
      <w:pPr>
        <w:spacing w:before="120" w:after="0" w:line="320" w:lineRule="atLeast"/>
        <w:ind w:left="567" w:right="567"/>
        <w:jc w:val="right"/>
        <w:rPr>
          <w:rFonts w:ascii="Palatino Linotype" w:hAnsi="Palatino Linotype"/>
          <w:sz w:val="20"/>
          <w:szCs w:val="20"/>
        </w:rPr>
      </w:pPr>
      <w:r w:rsidRPr="00975050">
        <w:rPr>
          <w:rFonts w:ascii="Palatino Linotype" w:hAnsi="Palatino Linotype"/>
          <w:sz w:val="20"/>
          <w:szCs w:val="20"/>
        </w:rPr>
        <w:t xml:space="preserve">Email: </w:t>
      </w:r>
      <w:hyperlink r:id="rId13" w:history="1">
        <w:r w:rsidR="00E318F7" w:rsidRPr="00126ABB">
          <w:rPr>
            <w:rStyle w:val="Hyperlink"/>
            <w:rFonts w:ascii="Palatino Linotype" w:hAnsi="Palatino Linotype"/>
            <w:sz w:val="20"/>
            <w:szCs w:val="20"/>
          </w:rPr>
          <w:t>yentruong7@gmail.com</w:t>
        </w:r>
      </w:hyperlink>
    </w:p>
    <w:p w:rsidR="00E318F7" w:rsidRDefault="00E318F7" w:rsidP="00975050">
      <w:pPr>
        <w:spacing w:before="120" w:after="0" w:line="320" w:lineRule="atLeast"/>
        <w:ind w:left="567" w:right="567"/>
        <w:jc w:val="both"/>
        <w:rPr>
          <w:rFonts w:ascii="Palatino Linotype" w:hAnsi="Palatino Linotype"/>
          <w:b/>
          <w:sz w:val="20"/>
        </w:rPr>
      </w:pPr>
      <w:r w:rsidRPr="00E318F7">
        <w:rPr>
          <w:rFonts w:ascii="Palatino Linotype" w:hAnsi="Palatino Linotype"/>
          <w:b/>
          <w:sz w:val="20"/>
        </w:rPr>
        <w:t>ABSTRACT</w:t>
      </w:r>
    </w:p>
    <w:p w:rsidR="008624E0" w:rsidRPr="00E318F7" w:rsidRDefault="008624E0" w:rsidP="00975050">
      <w:pPr>
        <w:spacing w:before="120" w:after="0" w:line="320" w:lineRule="atLeast"/>
        <w:ind w:left="567" w:right="567"/>
        <w:jc w:val="both"/>
        <w:rPr>
          <w:rFonts w:ascii="Palatino Linotype" w:hAnsi="Palatino Linotype"/>
          <w:b/>
          <w:sz w:val="20"/>
        </w:rPr>
      </w:pPr>
      <w:r>
        <w:rPr>
          <w:rFonts w:ascii="Palatino Linotype" w:hAnsi="Palatino Linotype"/>
          <w:sz w:val="20"/>
          <w:szCs w:val="20"/>
        </w:rPr>
        <w:t xml:space="preserve">In addition to the </w:t>
      </w:r>
      <w:r w:rsidRPr="008624E0">
        <w:rPr>
          <w:rFonts w:ascii="Palatino Linotype" w:hAnsi="Palatino Linotype"/>
          <w:sz w:val="20"/>
          <w:szCs w:val="20"/>
        </w:rPr>
        <w:t xml:space="preserve">resettlement activities, the post – resettlement actions for the community are always taken seriously by the Party and State of Vietnam. However, resettlement people </w:t>
      </w:r>
      <w:r w:rsidR="00975050">
        <w:rPr>
          <w:rFonts w:ascii="Palatino Linotype" w:hAnsi="Palatino Linotype"/>
          <w:sz w:val="20"/>
          <w:szCs w:val="20"/>
        </w:rPr>
        <w:t>still opposite many difficul</w:t>
      </w:r>
      <w:r w:rsidRPr="008624E0">
        <w:rPr>
          <w:rFonts w:ascii="Palatino Linotype" w:hAnsi="Palatino Linotype"/>
          <w:sz w:val="20"/>
          <w:szCs w:val="20"/>
        </w:rPr>
        <w:t>ties in approaching basic social ser</w:t>
      </w:r>
      <w:r>
        <w:rPr>
          <w:rFonts w:ascii="Palatino Linotype" w:hAnsi="Palatino Linotype"/>
          <w:sz w:val="20"/>
          <w:szCs w:val="20"/>
        </w:rPr>
        <w:t>vices in fact. This paper focus</w:t>
      </w:r>
      <w:r w:rsidRPr="008624E0">
        <w:rPr>
          <w:rFonts w:ascii="Palatino Linotype" w:hAnsi="Palatino Linotype"/>
          <w:sz w:val="20"/>
          <w:szCs w:val="20"/>
        </w:rPr>
        <w:t xml:space="preserve"> on analyzing the situation of assessing social welfare of resettlement of boat community who are vulnerable group in Hue city, about using some of social services such as housing, education, health and clean water. Finally, we will p</w:t>
      </w:r>
      <w:r w:rsidR="00975050">
        <w:rPr>
          <w:rFonts w:ascii="Palatino Linotype" w:hAnsi="Palatino Linotype"/>
          <w:sz w:val="20"/>
          <w:szCs w:val="20"/>
        </w:rPr>
        <w:t>ropose some effective solutions</w:t>
      </w:r>
      <w:r w:rsidRPr="008624E0">
        <w:rPr>
          <w:rFonts w:ascii="Palatino Linotype" w:hAnsi="Palatino Linotype"/>
          <w:sz w:val="20"/>
          <w:szCs w:val="20"/>
        </w:rPr>
        <w:t xml:space="preserve"> to ensuring better life for resettlement boat community at new accommodation.</w:t>
      </w:r>
    </w:p>
    <w:p w:rsidR="008624E0" w:rsidRDefault="008624E0" w:rsidP="00975050">
      <w:pPr>
        <w:spacing w:before="120" w:after="0" w:line="320" w:lineRule="atLeast"/>
        <w:ind w:left="567" w:right="567"/>
        <w:jc w:val="both"/>
        <w:rPr>
          <w:rFonts w:ascii="Palatino Linotype" w:hAnsi="Palatino Linotype"/>
          <w:sz w:val="20"/>
          <w:szCs w:val="20"/>
        </w:rPr>
      </w:pPr>
      <w:r w:rsidRPr="00975050">
        <w:rPr>
          <w:rFonts w:ascii="Palatino Linotype" w:hAnsi="Palatino Linotype"/>
          <w:b/>
          <w:sz w:val="20"/>
          <w:szCs w:val="20"/>
        </w:rPr>
        <w:t>Key words</w:t>
      </w:r>
      <w:r w:rsidRPr="008624E0">
        <w:rPr>
          <w:rFonts w:ascii="Palatino Linotype" w:hAnsi="Palatino Linotype"/>
          <w:sz w:val="20"/>
          <w:szCs w:val="20"/>
        </w:rPr>
        <w:t>: Boat community; Basic social service</w:t>
      </w:r>
      <w:r w:rsidR="00B27689">
        <w:rPr>
          <w:rFonts w:ascii="Palatino Linotype" w:hAnsi="Palatino Linotype"/>
          <w:sz w:val="20"/>
          <w:szCs w:val="20"/>
        </w:rPr>
        <w:t>s</w:t>
      </w:r>
      <w:r w:rsidRPr="008624E0">
        <w:rPr>
          <w:rFonts w:ascii="Palatino Linotype" w:hAnsi="Palatino Linotype"/>
          <w:sz w:val="20"/>
          <w:szCs w:val="20"/>
        </w:rPr>
        <w:t>; Resettlement</w:t>
      </w:r>
    </w:p>
    <w:p w:rsidR="00975050" w:rsidRDefault="00975050" w:rsidP="00975050">
      <w:pPr>
        <w:spacing w:before="120" w:after="0" w:line="320" w:lineRule="atLeast"/>
        <w:ind w:left="567" w:right="567"/>
        <w:jc w:val="both"/>
        <w:rPr>
          <w:rFonts w:ascii="Palatino Linotype" w:hAnsi="Palatino Linotype"/>
          <w:sz w:val="20"/>
          <w:szCs w:val="20"/>
        </w:rPr>
      </w:pPr>
    </w:p>
    <w:p w:rsidR="00975050" w:rsidRPr="004F571F" w:rsidRDefault="00975050" w:rsidP="008624E0">
      <w:pPr>
        <w:spacing w:before="120" w:after="0" w:line="320" w:lineRule="atLeast"/>
        <w:ind w:left="567" w:right="567"/>
        <w:jc w:val="both"/>
        <w:rPr>
          <w:rFonts w:ascii="Palatino Linotype" w:hAnsi="Palatino Linotype"/>
          <w:vertAlign w:val="superscript"/>
        </w:rPr>
      </w:pPr>
    </w:p>
    <w:sectPr w:rsidR="00975050" w:rsidRPr="004F571F" w:rsidSect="00CF36FB">
      <w:footerReference w:type="default" r:id="rId14"/>
      <w:pgSz w:w="11907" w:h="16840" w:code="9"/>
      <w:pgMar w:top="1985" w:right="1701" w:bottom="1985" w:left="1701"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88" w:rsidRDefault="00DB3288" w:rsidP="00D91DB5">
      <w:pPr>
        <w:spacing w:after="0" w:line="240" w:lineRule="auto"/>
      </w:pPr>
      <w:r>
        <w:separator/>
      </w:r>
    </w:p>
  </w:endnote>
  <w:endnote w:type="continuationSeparator" w:id="0">
    <w:p w:rsidR="00DB3288" w:rsidRDefault="00DB3288" w:rsidP="00D9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8E" w:rsidRDefault="004A481E">
    <w:pPr>
      <w:pStyle w:val="Footer"/>
      <w:jc w:val="right"/>
    </w:pPr>
    <w:r>
      <w:fldChar w:fldCharType="begin"/>
    </w:r>
    <w:r>
      <w:instrText xml:space="preserve"> PAGE   \* MERGEFORMAT </w:instrText>
    </w:r>
    <w:r>
      <w:fldChar w:fldCharType="separate"/>
    </w:r>
    <w:r w:rsidR="00AD1D83">
      <w:rPr>
        <w:noProof/>
      </w:rPr>
      <w:t>8</w:t>
    </w:r>
    <w:r>
      <w:rPr>
        <w:noProof/>
      </w:rPr>
      <w:fldChar w:fldCharType="end"/>
    </w:r>
  </w:p>
  <w:p w:rsidR="000D268E" w:rsidRDefault="000D2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88" w:rsidRDefault="00DB3288" w:rsidP="00D91DB5">
      <w:pPr>
        <w:spacing w:after="0" w:line="240" w:lineRule="auto"/>
      </w:pPr>
      <w:r>
        <w:separator/>
      </w:r>
    </w:p>
  </w:footnote>
  <w:footnote w:type="continuationSeparator" w:id="0">
    <w:p w:rsidR="00DB3288" w:rsidRDefault="00DB3288" w:rsidP="00D91DB5">
      <w:pPr>
        <w:spacing w:after="0" w:line="240" w:lineRule="auto"/>
      </w:pPr>
      <w:r>
        <w:continuationSeparator/>
      </w:r>
    </w:p>
  </w:footnote>
  <w:footnote w:id="1">
    <w:p w:rsidR="00C91F4C" w:rsidRDefault="00C91F4C" w:rsidP="00C91F4C">
      <w:pPr>
        <w:pStyle w:val="FootnoteText"/>
      </w:pPr>
      <w:r>
        <w:rPr>
          <w:rStyle w:val="FootnoteReference"/>
        </w:rPr>
        <w:footnoteRef/>
      </w:r>
      <w:r>
        <w:t xml:space="preserve"> Nguồn từ Điều tra thực tế năm 201</w:t>
      </w:r>
      <w:r w:rsidR="006E1DBC">
        <w:t>7</w:t>
      </w:r>
    </w:p>
  </w:footnote>
  <w:footnote w:id="2">
    <w:p w:rsidR="004516F3" w:rsidRPr="004516F3" w:rsidRDefault="004516F3">
      <w:pPr>
        <w:pStyle w:val="FootnoteText"/>
        <w:rPr>
          <w:lang w:val="en-US"/>
        </w:rPr>
      </w:pPr>
      <w:r>
        <w:rPr>
          <w:rStyle w:val="FootnoteReference"/>
        </w:rPr>
        <w:footnoteRef/>
      </w:r>
      <w:r>
        <w:t xml:space="preserve"> Nguồn từ </w:t>
      </w:r>
      <w:r w:rsidR="000F4A7B">
        <w:t>đ</w:t>
      </w:r>
      <w:r>
        <w:t>iều tra thực tế năm 2017</w:t>
      </w:r>
    </w:p>
  </w:footnote>
  <w:footnote w:id="3">
    <w:p w:rsidR="00431045" w:rsidRPr="00431045" w:rsidRDefault="00431045">
      <w:pPr>
        <w:pStyle w:val="FootnoteText"/>
        <w:rPr>
          <w:lang w:val="en-US"/>
        </w:rPr>
      </w:pPr>
      <w:r>
        <w:rPr>
          <w:rStyle w:val="FootnoteReference"/>
        </w:rPr>
        <w:footnoteRef/>
      </w:r>
      <w:r>
        <w:t xml:space="preserve"> </w:t>
      </w:r>
      <w:r w:rsidRPr="00431045">
        <w:t xml:space="preserve">Phỏng vấn sâu </w:t>
      </w:r>
      <w:r w:rsidR="00576CB4">
        <w:t xml:space="preserve">chủ </w:t>
      </w:r>
      <w:r>
        <w:t>hộ gia đình vạn đò tái định cư tại phường Hương Sơ, thành phố Huế.</w:t>
      </w:r>
    </w:p>
  </w:footnote>
  <w:footnote w:id="4">
    <w:p w:rsidR="007243A8" w:rsidRPr="007243A8" w:rsidRDefault="007243A8">
      <w:pPr>
        <w:pStyle w:val="FootnoteText"/>
        <w:rPr>
          <w:rFonts w:ascii="Palatino Linotype" w:hAnsi="Palatino Linotype"/>
          <w:lang w:val="en-US"/>
        </w:rPr>
      </w:pPr>
      <w:r w:rsidRPr="007243A8">
        <w:rPr>
          <w:rStyle w:val="FootnoteReference"/>
          <w:rFonts w:ascii="Palatino Linotype" w:hAnsi="Palatino Linotype"/>
        </w:rPr>
        <w:footnoteRef/>
      </w:r>
      <w:r w:rsidRPr="007243A8">
        <w:rPr>
          <w:rFonts w:ascii="Palatino Linotype" w:hAnsi="Palatino Linotype"/>
        </w:rPr>
        <w:t xml:space="preserve"> Phỏng vấn sâu cán bộ phòng Lao động, Thương binh và Xã hội thành phố Huế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649"/>
    <w:multiLevelType w:val="multilevel"/>
    <w:tmpl w:val="8BFA7A80"/>
    <w:lvl w:ilvl="0">
      <w:start w:val="1"/>
      <w:numFmt w:val="decimal"/>
      <w:suff w:val="space"/>
      <w:lvlText w:val="CHƯƠNG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suff w:val="space"/>
      <w:lvlText w:val="%1.%2."/>
      <w:lvlJc w:val="left"/>
      <w:rPr>
        <w:rFonts w:cs="Times New Roman" w:hint="default"/>
      </w:rPr>
    </w:lvl>
    <w:lvl w:ilvl="2">
      <w:start w:val="1"/>
      <w:numFmt w:val="decimal"/>
      <w:suff w:val="space"/>
      <w:lvlText w:val="%1.%2.%3."/>
      <w:lvlJc w:val="left"/>
      <w:pPr>
        <w:ind w:left="630"/>
      </w:pPr>
      <w:rPr>
        <w:rFonts w:cs="Times New Roman" w:hint="default"/>
      </w:rPr>
    </w:lvl>
    <w:lvl w:ilvl="3">
      <w:start w:val="1"/>
      <w:numFmt w:val="decimal"/>
      <w:suff w:val="space"/>
      <w:lvlText w:val="%1.%2.%3.%4."/>
      <w:lvlJc w:val="left"/>
      <w:rPr>
        <w:rFonts w:cs="Times New Roman" w:hint="default"/>
      </w:rPr>
    </w:lvl>
    <w:lvl w:ilvl="4">
      <w:start w:val="1"/>
      <w:numFmt w:val="lowerLetter"/>
      <w:suff w:val="space"/>
      <w:lvlText w:val="%5."/>
      <w:lvlJc w:val="left"/>
      <w:rPr>
        <w:rFonts w:cs="Times New Roman" w:hint="default"/>
      </w:rPr>
    </w:lvl>
    <w:lvl w:ilvl="5">
      <w:start w:val="1"/>
      <w:numFmt w:val="lowerRoman"/>
      <w:suff w:val="space"/>
      <w:lvlText w:val="%6."/>
      <w:lvlJc w:val="left"/>
      <w:rPr>
        <w:rFonts w:cs="Times New Roman" w:hint="default"/>
        <w:color w:val="auto"/>
      </w:rPr>
    </w:lvl>
    <w:lvl w:ilvl="6">
      <w:start w:val="1"/>
      <w:numFmt w:val="decimal"/>
      <w:lvlRestart w:val="0"/>
      <w:suff w:val="space"/>
      <w:lvlText w:val="Bảng %1.%7."/>
      <w:lvlJc w:val="left"/>
      <w:rPr>
        <w:rFonts w:cs="Times New Roman" w:hint="default"/>
      </w:rPr>
    </w:lvl>
    <w:lvl w:ilvl="7">
      <w:start w:val="1"/>
      <w:numFmt w:val="decimal"/>
      <w:lvlRestart w:val="0"/>
      <w:suff w:val="space"/>
      <w:lvlText w:val="Hình %1.%8."/>
      <w:lvlJc w:val="left"/>
      <w:rPr>
        <w:rFonts w:cs="Times New Roman" w:hint="default"/>
      </w:rPr>
    </w:lvl>
    <w:lvl w:ilvl="8">
      <w:start w:val="1"/>
      <w:numFmt w:val="lowerRoman"/>
      <w:lvlText w:val="%9."/>
      <w:lvlJc w:val="left"/>
      <w:rPr>
        <w:rFonts w:cs="Times New Roman" w:hint="default"/>
      </w:rPr>
    </w:lvl>
  </w:abstractNum>
  <w:abstractNum w:abstractNumId="1">
    <w:nsid w:val="03B14303"/>
    <w:multiLevelType w:val="hybridMultilevel"/>
    <w:tmpl w:val="3150422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AF2D9C"/>
    <w:multiLevelType w:val="hybridMultilevel"/>
    <w:tmpl w:val="C93C7AC0"/>
    <w:lvl w:ilvl="0" w:tplc="30EE742A">
      <w:start w:val="1"/>
      <w:numFmt w:val="bullet"/>
      <w:lvlText w:val=""/>
      <w:lvlJc w:val="left"/>
      <w:pPr>
        <w:ind w:left="1440" w:hanging="360"/>
      </w:pPr>
      <w:rPr>
        <w:rFonts w:ascii="Symbol" w:hAnsi="Symbol" w:hint="default"/>
        <w:strike w:val="0"/>
        <w:dstrike w:val="0"/>
        <w:color w:val="auto"/>
        <w:sz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64E85"/>
    <w:multiLevelType w:val="hybridMultilevel"/>
    <w:tmpl w:val="1B642514"/>
    <w:lvl w:ilvl="0" w:tplc="9E104064">
      <w:start w:val="1"/>
      <w:numFmt w:val="bullet"/>
      <w:lvlText w:val=""/>
      <w:lvlJc w:val="left"/>
      <w:pPr>
        <w:ind w:left="360" w:hanging="360"/>
      </w:pPr>
      <w:rPr>
        <w:rFonts w:ascii="Symbol" w:hAnsi="Symbol" w:hint="default"/>
        <w:strike w:val="0"/>
        <w:dstrike w:val="0"/>
        <w:color w:val="auto"/>
        <w:sz w:val="4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4DD0F05"/>
    <w:multiLevelType w:val="hybridMultilevel"/>
    <w:tmpl w:val="AA3645E8"/>
    <w:lvl w:ilvl="0" w:tplc="30EE742A">
      <w:start w:val="1"/>
      <w:numFmt w:val="bullet"/>
      <w:lvlText w:val=""/>
      <w:lvlJc w:val="left"/>
      <w:pPr>
        <w:ind w:left="720" w:hanging="360"/>
      </w:pPr>
      <w:rPr>
        <w:rFonts w:ascii="Symbol" w:hAnsi="Symbol" w:hint="default"/>
        <w:strike w:val="0"/>
        <w:dstrike w:val="0"/>
        <w:color w:val="auto"/>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3809"/>
    <w:multiLevelType w:val="hybridMultilevel"/>
    <w:tmpl w:val="177EB9B6"/>
    <w:lvl w:ilvl="0" w:tplc="22E6343A">
      <w:start w:val="1"/>
      <w:numFmt w:val="decimal"/>
      <w:lvlText w:val="%1."/>
      <w:lvlJc w:val="left"/>
      <w:pPr>
        <w:ind w:left="540" w:hanging="360"/>
      </w:pPr>
      <w:rPr>
        <w:rFonts w:cs="Times New Roman" w:hint="default"/>
        <w:i w:val="0"/>
      </w:rPr>
    </w:lvl>
    <w:lvl w:ilvl="1" w:tplc="04090019" w:tentative="1">
      <w:start w:val="1"/>
      <w:numFmt w:val="lowerLetter"/>
      <w:lvlText w:val="%2."/>
      <w:lvlJc w:val="left"/>
      <w:pPr>
        <w:ind w:left="1052" w:hanging="360"/>
      </w:pPr>
      <w:rPr>
        <w:rFonts w:cs="Times New Roman"/>
      </w:rPr>
    </w:lvl>
    <w:lvl w:ilvl="2" w:tplc="0409001B" w:tentative="1">
      <w:start w:val="1"/>
      <w:numFmt w:val="lowerRoman"/>
      <w:lvlText w:val="%3."/>
      <w:lvlJc w:val="right"/>
      <w:pPr>
        <w:ind w:left="1772" w:hanging="180"/>
      </w:pPr>
      <w:rPr>
        <w:rFonts w:cs="Times New Roman"/>
      </w:rPr>
    </w:lvl>
    <w:lvl w:ilvl="3" w:tplc="0409000F" w:tentative="1">
      <w:start w:val="1"/>
      <w:numFmt w:val="decimal"/>
      <w:lvlText w:val="%4."/>
      <w:lvlJc w:val="left"/>
      <w:pPr>
        <w:ind w:left="2492" w:hanging="360"/>
      </w:pPr>
      <w:rPr>
        <w:rFonts w:cs="Times New Roman"/>
      </w:rPr>
    </w:lvl>
    <w:lvl w:ilvl="4" w:tplc="04090019" w:tentative="1">
      <w:start w:val="1"/>
      <w:numFmt w:val="lowerLetter"/>
      <w:lvlText w:val="%5."/>
      <w:lvlJc w:val="left"/>
      <w:pPr>
        <w:ind w:left="3212" w:hanging="360"/>
      </w:pPr>
      <w:rPr>
        <w:rFonts w:cs="Times New Roman"/>
      </w:rPr>
    </w:lvl>
    <w:lvl w:ilvl="5" w:tplc="0409001B" w:tentative="1">
      <w:start w:val="1"/>
      <w:numFmt w:val="lowerRoman"/>
      <w:lvlText w:val="%6."/>
      <w:lvlJc w:val="right"/>
      <w:pPr>
        <w:ind w:left="3932" w:hanging="180"/>
      </w:pPr>
      <w:rPr>
        <w:rFonts w:cs="Times New Roman"/>
      </w:rPr>
    </w:lvl>
    <w:lvl w:ilvl="6" w:tplc="0409000F" w:tentative="1">
      <w:start w:val="1"/>
      <w:numFmt w:val="decimal"/>
      <w:lvlText w:val="%7."/>
      <w:lvlJc w:val="left"/>
      <w:pPr>
        <w:ind w:left="4652" w:hanging="360"/>
      </w:pPr>
      <w:rPr>
        <w:rFonts w:cs="Times New Roman"/>
      </w:rPr>
    </w:lvl>
    <w:lvl w:ilvl="7" w:tplc="04090019" w:tentative="1">
      <w:start w:val="1"/>
      <w:numFmt w:val="lowerLetter"/>
      <w:lvlText w:val="%8."/>
      <w:lvlJc w:val="left"/>
      <w:pPr>
        <w:ind w:left="5372" w:hanging="360"/>
      </w:pPr>
      <w:rPr>
        <w:rFonts w:cs="Times New Roman"/>
      </w:rPr>
    </w:lvl>
    <w:lvl w:ilvl="8" w:tplc="0409001B" w:tentative="1">
      <w:start w:val="1"/>
      <w:numFmt w:val="lowerRoman"/>
      <w:lvlText w:val="%9."/>
      <w:lvlJc w:val="right"/>
      <w:pPr>
        <w:ind w:left="6092" w:hanging="180"/>
      </w:pPr>
      <w:rPr>
        <w:rFonts w:cs="Times New Roman"/>
      </w:rPr>
    </w:lvl>
  </w:abstractNum>
  <w:abstractNum w:abstractNumId="6">
    <w:nsid w:val="2A6A663B"/>
    <w:multiLevelType w:val="hybridMultilevel"/>
    <w:tmpl w:val="6AC23466"/>
    <w:lvl w:ilvl="0" w:tplc="30EE742A">
      <w:start w:val="1"/>
      <w:numFmt w:val="bullet"/>
      <w:lvlText w:val=""/>
      <w:lvlJc w:val="left"/>
      <w:pPr>
        <w:ind w:left="1440" w:hanging="360"/>
      </w:pPr>
      <w:rPr>
        <w:rFonts w:ascii="Symbol" w:hAnsi="Symbol" w:hint="default"/>
        <w:strike w:val="0"/>
        <w:dstrike w:val="0"/>
        <w:color w:val="auto"/>
        <w:sz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5263E"/>
    <w:multiLevelType w:val="hybridMultilevel"/>
    <w:tmpl w:val="0696F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E97495"/>
    <w:multiLevelType w:val="hybridMultilevel"/>
    <w:tmpl w:val="797271C8"/>
    <w:lvl w:ilvl="0" w:tplc="9E104064">
      <w:start w:val="1"/>
      <w:numFmt w:val="bullet"/>
      <w:lvlText w:val=""/>
      <w:lvlJc w:val="left"/>
      <w:pPr>
        <w:ind w:left="720" w:hanging="360"/>
      </w:pPr>
      <w:rPr>
        <w:rFonts w:ascii="Symbol" w:hAnsi="Symbol" w:hint="default"/>
        <w:strike w:val="0"/>
        <w:dstrike w:val="0"/>
        <w:color w:val="auto"/>
        <w:sz w:val="4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1161E"/>
    <w:multiLevelType w:val="hybridMultilevel"/>
    <w:tmpl w:val="7F2AEA6E"/>
    <w:lvl w:ilvl="0" w:tplc="D40A235C">
      <w:start w:val="1"/>
      <w:numFmt w:val="bullet"/>
      <w:lvlText w:val=""/>
      <w:lvlJc w:val="left"/>
      <w:pPr>
        <w:ind w:left="1440" w:hanging="360"/>
      </w:pPr>
      <w:rPr>
        <w:rFonts w:ascii="Symbol" w:hAnsi="Symbol" w:hint="default"/>
        <w:strike w:val="0"/>
        <w:dstrike w:val="0"/>
        <w:color w:val="auto"/>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B64648"/>
    <w:multiLevelType w:val="hybridMultilevel"/>
    <w:tmpl w:val="852C6786"/>
    <w:lvl w:ilvl="0" w:tplc="B358B26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E20C35"/>
    <w:multiLevelType w:val="hybridMultilevel"/>
    <w:tmpl w:val="EA648392"/>
    <w:lvl w:ilvl="0" w:tplc="9338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40EB0"/>
    <w:multiLevelType w:val="multilevel"/>
    <w:tmpl w:val="92400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1"/>
  </w:num>
  <w:num w:numId="3">
    <w:abstractNumId w:val="7"/>
  </w:num>
  <w:num w:numId="4">
    <w:abstractNumId w:val="10"/>
  </w:num>
  <w:num w:numId="5">
    <w:abstractNumId w:val="1"/>
  </w:num>
  <w:num w:numId="6">
    <w:abstractNumId w:val="4"/>
  </w:num>
  <w:num w:numId="7">
    <w:abstractNumId w:val="2"/>
  </w:num>
  <w:num w:numId="8">
    <w:abstractNumId w:val="6"/>
  </w:num>
  <w:num w:numId="9">
    <w:abstractNumId w:val="9"/>
  </w:num>
  <w:num w:numId="10">
    <w:abstractNumId w:val="3"/>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EC"/>
    <w:rsid w:val="00000BC7"/>
    <w:rsid w:val="0000607D"/>
    <w:rsid w:val="00006748"/>
    <w:rsid w:val="00011FA7"/>
    <w:rsid w:val="00012C70"/>
    <w:rsid w:val="00013427"/>
    <w:rsid w:val="00024174"/>
    <w:rsid w:val="000266B9"/>
    <w:rsid w:val="00031573"/>
    <w:rsid w:val="00040465"/>
    <w:rsid w:val="000404E2"/>
    <w:rsid w:val="00044ABC"/>
    <w:rsid w:val="00045C80"/>
    <w:rsid w:val="00065D43"/>
    <w:rsid w:val="0007074A"/>
    <w:rsid w:val="00072276"/>
    <w:rsid w:val="00074E39"/>
    <w:rsid w:val="0007758F"/>
    <w:rsid w:val="00081492"/>
    <w:rsid w:val="000835EF"/>
    <w:rsid w:val="00085119"/>
    <w:rsid w:val="000852E7"/>
    <w:rsid w:val="000854F8"/>
    <w:rsid w:val="00090460"/>
    <w:rsid w:val="00092E9A"/>
    <w:rsid w:val="0009379B"/>
    <w:rsid w:val="00095EFF"/>
    <w:rsid w:val="00096D52"/>
    <w:rsid w:val="00097EA0"/>
    <w:rsid w:val="000A25D0"/>
    <w:rsid w:val="000A6D6E"/>
    <w:rsid w:val="000B31BD"/>
    <w:rsid w:val="000B746F"/>
    <w:rsid w:val="000B7B17"/>
    <w:rsid w:val="000C012A"/>
    <w:rsid w:val="000C7B70"/>
    <w:rsid w:val="000D268E"/>
    <w:rsid w:val="000D2CD1"/>
    <w:rsid w:val="000D36D3"/>
    <w:rsid w:val="000D4F1E"/>
    <w:rsid w:val="000E1D63"/>
    <w:rsid w:val="000E2725"/>
    <w:rsid w:val="000E2E98"/>
    <w:rsid w:val="000E3630"/>
    <w:rsid w:val="000E7A72"/>
    <w:rsid w:val="000F2B8E"/>
    <w:rsid w:val="000F4583"/>
    <w:rsid w:val="000F4A7B"/>
    <w:rsid w:val="00106835"/>
    <w:rsid w:val="00113F3B"/>
    <w:rsid w:val="0012508D"/>
    <w:rsid w:val="00126F03"/>
    <w:rsid w:val="00126F71"/>
    <w:rsid w:val="00126FEE"/>
    <w:rsid w:val="001437F1"/>
    <w:rsid w:val="0014434A"/>
    <w:rsid w:val="00147FC1"/>
    <w:rsid w:val="0015163E"/>
    <w:rsid w:val="00157290"/>
    <w:rsid w:val="00161806"/>
    <w:rsid w:val="001629D4"/>
    <w:rsid w:val="00162EB2"/>
    <w:rsid w:val="00170186"/>
    <w:rsid w:val="00171922"/>
    <w:rsid w:val="00182E77"/>
    <w:rsid w:val="0018702F"/>
    <w:rsid w:val="00190D94"/>
    <w:rsid w:val="00190F02"/>
    <w:rsid w:val="001A124E"/>
    <w:rsid w:val="001A3D64"/>
    <w:rsid w:val="001A43B3"/>
    <w:rsid w:val="001A463C"/>
    <w:rsid w:val="001A48E1"/>
    <w:rsid w:val="001B16C5"/>
    <w:rsid w:val="001B1AD9"/>
    <w:rsid w:val="001B58A6"/>
    <w:rsid w:val="001C485C"/>
    <w:rsid w:val="001D0238"/>
    <w:rsid w:val="001D0AD2"/>
    <w:rsid w:val="001D40BF"/>
    <w:rsid w:val="001D5AF4"/>
    <w:rsid w:val="001D6558"/>
    <w:rsid w:val="001D6942"/>
    <w:rsid w:val="001E063A"/>
    <w:rsid w:val="001E5211"/>
    <w:rsid w:val="001F1BF5"/>
    <w:rsid w:val="001F79E6"/>
    <w:rsid w:val="00204BAD"/>
    <w:rsid w:val="00211FFC"/>
    <w:rsid w:val="0021275C"/>
    <w:rsid w:val="0021502D"/>
    <w:rsid w:val="002202E5"/>
    <w:rsid w:val="00224FAF"/>
    <w:rsid w:val="00225D32"/>
    <w:rsid w:val="00235264"/>
    <w:rsid w:val="002502E0"/>
    <w:rsid w:val="00251D0A"/>
    <w:rsid w:val="00252AD9"/>
    <w:rsid w:val="002556A1"/>
    <w:rsid w:val="002602B1"/>
    <w:rsid w:val="00261858"/>
    <w:rsid w:val="002723FC"/>
    <w:rsid w:val="00276A41"/>
    <w:rsid w:val="00276EFA"/>
    <w:rsid w:val="002833AF"/>
    <w:rsid w:val="00284E73"/>
    <w:rsid w:val="00286380"/>
    <w:rsid w:val="00291EA4"/>
    <w:rsid w:val="002927CD"/>
    <w:rsid w:val="002A161B"/>
    <w:rsid w:val="002A2306"/>
    <w:rsid w:val="002A4939"/>
    <w:rsid w:val="002A49BB"/>
    <w:rsid w:val="002B67A2"/>
    <w:rsid w:val="002C08E2"/>
    <w:rsid w:val="002C3078"/>
    <w:rsid w:val="002C36B5"/>
    <w:rsid w:val="002D2DFE"/>
    <w:rsid w:val="002D4296"/>
    <w:rsid w:val="002D7BDD"/>
    <w:rsid w:val="002E3B42"/>
    <w:rsid w:val="002F3627"/>
    <w:rsid w:val="002F4F89"/>
    <w:rsid w:val="00303C06"/>
    <w:rsid w:val="00305629"/>
    <w:rsid w:val="0030799B"/>
    <w:rsid w:val="00312CC4"/>
    <w:rsid w:val="00315009"/>
    <w:rsid w:val="00317803"/>
    <w:rsid w:val="00320C66"/>
    <w:rsid w:val="00323BCF"/>
    <w:rsid w:val="003329AA"/>
    <w:rsid w:val="00332F48"/>
    <w:rsid w:val="00334F14"/>
    <w:rsid w:val="003351F0"/>
    <w:rsid w:val="00336B50"/>
    <w:rsid w:val="003503E2"/>
    <w:rsid w:val="0035285D"/>
    <w:rsid w:val="00353B86"/>
    <w:rsid w:val="00354CE3"/>
    <w:rsid w:val="0035573C"/>
    <w:rsid w:val="003615FA"/>
    <w:rsid w:val="003631B0"/>
    <w:rsid w:val="003638C0"/>
    <w:rsid w:val="00365F9F"/>
    <w:rsid w:val="00372070"/>
    <w:rsid w:val="003721CF"/>
    <w:rsid w:val="003741EB"/>
    <w:rsid w:val="00374E01"/>
    <w:rsid w:val="0037765E"/>
    <w:rsid w:val="003848A2"/>
    <w:rsid w:val="003871EC"/>
    <w:rsid w:val="00390D39"/>
    <w:rsid w:val="0039292F"/>
    <w:rsid w:val="00392B89"/>
    <w:rsid w:val="00392F91"/>
    <w:rsid w:val="003B3E4A"/>
    <w:rsid w:val="003C009E"/>
    <w:rsid w:val="003C29DA"/>
    <w:rsid w:val="003C68D5"/>
    <w:rsid w:val="003C7619"/>
    <w:rsid w:val="003D3001"/>
    <w:rsid w:val="003D3170"/>
    <w:rsid w:val="003D417E"/>
    <w:rsid w:val="003D752D"/>
    <w:rsid w:val="003D7768"/>
    <w:rsid w:val="003E0544"/>
    <w:rsid w:val="003E3D57"/>
    <w:rsid w:val="003E736A"/>
    <w:rsid w:val="003F2A05"/>
    <w:rsid w:val="003F5CB9"/>
    <w:rsid w:val="003F6141"/>
    <w:rsid w:val="003F6EF3"/>
    <w:rsid w:val="00413CE4"/>
    <w:rsid w:val="0042255C"/>
    <w:rsid w:val="0042756E"/>
    <w:rsid w:val="00427F0F"/>
    <w:rsid w:val="00431045"/>
    <w:rsid w:val="0043217A"/>
    <w:rsid w:val="00433F63"/>
    <w:rsid w:val="00437AEB"/>
    <w:rsid w:val="0044011B"/>
    <w:rsid w:val="00440BF7"/>
    <w:rsid w:val="00441C25"/>
    <w:rsid w:val="00442600"/>
    <w:rsid w:val="00442645"/>
    <w:rsid w:val="00444151"/>
    <w:rsid w:val="00444956"/>
    <w:rsid w:val="004449C2"/>
    <w:rsid w:val="00446192"/>
    <w:rsid w:val="00451533"/>
    <w:rsid w:val="004516F3"/>
    <w:rsid w:val="00451743"/>
    <w:rsid w:val="00452623"/>
    <w:rsid w:val="00462E41"/>
    <w:rsid w:val="0046556F"/>
    <w:rsid w:val="00466E10"/>
    <w:rsid w:val="00466E83"/>
    <w:rsid w:val="0046771E"/>
    <w:rsid w:val="004706BA"/>
    <w:rsid w:val="00471579"/>
    <w:rsid w:val="00482C65"/>
    <w:rsid w:val="00482DEE"/>
    <w:rsid w:val="004833C5"/>
    <w:rsid w:val="004861EC"/>
    <w:rsid w:val="00491C67"/>
    <w:rsid w:val="004969F9"/>
    <w:rsid w:val="00497C3D"/>
    <w:rsid w:val="004A481E"/>
    <w:rsid w:val="004A7439"/>
    <w:rsid w:val="004B6DD0"/>
    <w:rsid w:val="004B7298"/>
    <w:rsid w:val="004C2D8C"/>
    <w:rsid w:val="004C6CBB"/>
    <w:rsid w:val="004D0ACB"/>
    <w:rsid w:val="004D1D98"/>
    <w:rsid w:val="004D315A"/>
    <w:rsid w:val="004D3510"/>
    <w:rsid w:val="004D4B2E"/>
    <w:rsid w:val="004E059E"/>
    <w:rsid w:val="004E46F6"/>
    <w:rsid w:val="004E56DB"/>
    <w:rsid w:val="004F1368"/>
    <w:rsid w:val="004F3D7D"/>
    <w:rsid w:val="004F41F5"/>
    <w:rsid w:val="004F4ABC"/>
    <w:rsid w:val="004F571F"/>
    <w:rsid w:val="005009F8"/>
    <w:rsid w:val="00507E98"/>
    <w:rsid w:val="00510185"/>
    <w:rsid w:val="00513B0E"/>
    <w:rsid w:val="005228D3"/>
    <w:rsid w:val="00524BDA"/>
    <w:rsid w:val="0052790E"/>
    <w:rsid w:val="0054175F"/>
    <w:rsid w:val="005457CD"/>
    <w:rsid w:val="005505AD"/>
    <w:rsid w:val="00551F18"/>
    <w:rsid w:val="00554F2A"/>
    <w:rsid w:val="0055675F"/>
    <w:rsid w:val="00561DB3"/>
    <w:rsid w:val="005620D5"/>
    <w:rsid w:val="00562939"/>
    <w:rsid w:val="00563094"/>
    <w:rsid w:val="00565F43"/>
    <w:rsid w:val="00576CB4"/>
    <w:rsid w:val="005876D3"/>
    <w:rsid w:val="0059014E"/>
    <w:rsid w:val="0059298C"/>
    <w:rsid w:val="00596B5F"/>
    <w:rsid w:val="00596E5F"/>
    <w:rsid w:val="005976B7"/>
    <w:rsid w:val="005A1AC9"/>
    <w:rsid w:val="005A5A09"/>
    <w:rsid w:val="005B0264"/>
    <w:rsid w:val="005C1780"/>
    <w:rsid w:val="005C1BF5"/>
    <w:rsid w:val="005C2816"/>
    <w:rsid w:val="005C73AF"/>
    <w:rsid w:val="005D243B"/>
    <w:rsid w:val="005E24C2"/>
    <w:rsid w:val="005E2AFB"/>
    <w:rsid w:val="005E2F88"/>
    <w:rsid w:val="005E7EA9"/>
    <w:rsid w:val="005F312F"/>
    <w:rsid w:val="005F3296"/>
    <w:rsid w:val="00602D9A"/>
    <w:rsid w:val="00604070"/>
    <w:rsid w:val="0060780C"/>
    <w:rsid w:val="0061294C"/>
    <w:rsid w:val="00627420"/>
    <w:rsid w:val="00631F68"/>
    <w:rsid w:val="00632137"/>
    <w:rsid w:val="006359D6"/>
    <w:rsid w:val="00636CBD"/>
    <w:rsid w:val="006411F8"/>
    <w:rsid w:val="00646B1E"/>
    <w:rsid w:val="00651099"/>
    <w:rsid w:val="0065194B"/>
    <w:rsid w:val="00653FED"/>
    <w:rsid w:val="00655197"/>
    <w:rsid w:val="00661C5C"/>
    <w:rsid w:val="00662F42"/>
    <w:rsid w:val="00663BE1"/>
    <w:rsid w:val="00670BDC"/>
    <w:rsid w:val="00680588"/>
    <w:rsid w:val="00680EB9"/>
    <w:rsid w:val="00684CB6"/>
    <w:rsid w:val="00685498"/>
    <w:rsid w:val="00686D51"/>
    <w:rsid w:val="00690F03"/>
    <w:rsid w:val="00697FD8"/>
    <w:rsid w:val="006A397E"/>
    <w:rsid w:val="006B0B86"/>
    <w:rsid w:val="006B5357"/>
    <w:rsid w:val="006C48EA"/>
    <w:rsid w:val="006C4CE7"/>
    <w:rsid w:val="006C4F10"/>
    <w:rsid w:val="006C72B1"/>
    <w:rsid w:val="006E0CAF"/>
    <w:rsid w:val="006E1DBC"/>
    <w:rsid w:val="006E445E"/>
    <w:rsid w:val="006E7921"/>
    <w:rsid w:val="006F124A"/>
    <w:rsid w:val="006F1D4C"/>
    <w:rsid w:val="006F6AE7"/>
    <w:rsid w:val="00701626"/>
    <w:rsid w:val="00701CB9"/>
    <w:rsid w:val="007071A1"/>
    <w:rsid w:val="007079EE"/>
    <w:rsid w:val="00713AEA"/>
    <w:rsid w:val="00716666"/>
    <w:rsid w:val="00716B19"/>
    <w:rsid w:val="00721E76"/>
    <w:rsid w:val="007243A8"/>
    <w:rsid w:val="0072470D"/>
    <w:rsid w:val="00725888"/>
    <w:rsid w:val="00726AE4"/>
    <w:rsid w:val="007333B8"/>
    <w:rsid w:val="00735180"/>
    <w:rsid w:val="00735506"/>
    <w:rsid w:val="007355DF"/>
    <w:rsid w:val="00745E60"/>
    <w:rsid w:val="00747888"/>
    <w:rsid w:val="0075099E"/>
    <w:rsid w:val="00755E0F"/>
    <w:rsid w:val="0075750E"/>
    <w:rsid w:val="00757687"/>
    <w:rsid w:val="00761BE0"/>
    <w:rsid w:val="007640F8"/>
    <w:rsid w:val="00770C60"/>
    <w:rsid w:val="0077566E"/>
    <w:rsid w:val="00780CB6"/>
    <w:rsid w:val="00782990"/>
    <w:rsid w:val="007854AD"/>
    <w:rsid w:val="00785C4A"/>
    <w:rsid w:val="00797725"/>
    <w:rsid w:val="007B1B1F"/>
    <w:rsid w:val="007B3F5C"/>
    <w:rsid w:val="007B5C24"/>
    <w:rsid w:val="007B65FA"/>
    <w:rsid w:val="007D2BDE"/>
    <w:rsid w:val="007D5701"/>
    <w:rsid w:val="007F2E01"/>
    <w:rsid w:val="007F6C81"/>
    <w:rsid w:val="00803DBB"/>
    <w:rsid w:val="00810832"/>
    <w:rsid w:val="0081309F"/>
    <w:rsid w:val="008168CB"/>
    <w:rsid w:val="00822D61"/>
    <w:rsid w:val="008338DF"/>
    <w:rsid w:val="00841635"/>
    <w:rsid w:val="00852EA4"/>
    <w:rsid w:val="00857B50"/>
    <w:rsid w:val="008624E0"/>
    <w:rsid w:val="00867B47"/>
    <w:rsid w:val="0088146F"/>
    <w:rsid w:val="00897EEA"/>
    <w:rsid w:val="008A1C0A"/>
    <w:rsid w:val="008A418B"/>
    <w:rsid w:val="008B0766"/>
    <w:rsid w:val="008B11C6"/>
    <w:rsid w:val="008B6A48"/>
    <w:rsid w:val="008B766C"/>
    <w:rsid w:val="008B7955"/>
    <w:rsid w:val="008C19CD"/>
    <w:rsid w:val="008C5D4B"/>
    <w:rsid w:val="008D4BEE"/>
    <w:rsid w:val="008D69FA"/>
    <w:rsid w:val="008E1086"/>
    <w:rsid w:val="008E2750"/>
    <w:rsid w:val="008E6556"/>
    <w:rsid w:val="008E6D21"/>
    <w:rsid w:val="008F3E23"/>
    <w:rsid w:val="00901361"/>
    <w:rsid w:val="009061C9"/>
    <w:rsid w:val="00906412"/>
    <w:rsid w:val="009077BC"/>
    <w:rsid w:val="00910E5B"/>
    <w:rsid w:val="00920850"/>
    <w:rsid w:val="00921CAD"/>
    <w:rsid w:val="00922566"/>
    <w:rsid w:val="00922875"/>
    <w:rsid w:val="009360EF"/>
    <w:rsid w:val="00937EA0"/>
    <w:rsid w:val="009400D6"/>
    <w:rsid w:val="0094190A"/>
    <w:rsid w:val="00941971"/>
    <w:rsid w:val="009479F1"/>
    <w:rsid w:val="00952449"/>
    <w:rsid w:val="00953ED2"/>
    <w:rsid w:val="00960257"/>
    <w:rsid w:val="009643EA"/>
    <w:rsid w:val="00967B65"/>
    <w:rsid w:val="00970B41"/>
    <w:rsid w:val="0097244E"/>
    <w:rsid w:val="00975050"/>
    <w:rsid w:val="00977153"/>
    <w:rsid w:val="00981356"/>
    <w:rsid w:val="00982F55"/>
    <w:rsid w:val="00994E7D"/>
    <w:rsid w:val="009955C7"/>
    <w:rsid w:val="009965BE"/>
    <w:rsid w:val="00996730"/>
    <w:rsid w:val="00996CD9"/>
    <w:rsid w:val="009973D0"/>
    <w:rsid w:val="00997549"/>
    <w:rsid w:val="009A1A51"/>
    <w:rsid w:val="009B1FB0"/>
    <w:rsid w:val="009B4676"/>
    <w:rsid w:val="009C297D"/>
    <w:rsid w:val="009D36CB"/>
    <w:rsid w:val="009D3780"/>
    <w:rsid w:val="009D42B1"/>
    <w:rsid w:val="009E1EAC"/>
    <w:rsid w:val="009E2A2E"/>
    <w:rsid w:val="009F4F70"/>
    <w:rsid w:val="009F74CB"/>
    <w:rsid w:val="009F7563"/>
    <w:rsid w:val="00A0253E"/>
    <w:rsid w:val="00A055BB"/>
    <w:rsid w:val="00A109A7"/>
    <w:rsid w:val="00A10D39"/>
    <w:rsid w:val="00A132DC"/>
    <w:rsid w:val="00A13FDA"/>
    <w:rsid w:val="00A226E9"/>
    <w:rsid w:val="00A23DD0"/>
    <w:rsid w:val="00A31C33"/>
    <w:rsid w:val="00A32BAD"/>
    <w:rsid w:val="00A35FF1"/>
    <w:rsid w:val="00A4003B"/>
    <w:rsid w:val="00A400E6"/>
    <w:rsid w:val="00A4083C"/>
    <w:rsid w:val="00A4110F"/>
    <w:rsid w:val="00A41CFA"/>
    <w:rsid w:val="00A45572"/>
    <w:rsid w:val="00A50E1B"/>
    <w:rsid w:val="00A50E1C"/>
    <w:rsid w:val="00A52AE5"/>
    <w:rsid w:val="00A52AE9"/>
    <w:rsid w:val="00A61B1E"/>
    <w:rsid w:val="00A61CAF"/>
    <w:rsid w:val="00A63FC3"/>
    <w:rsid w:val="00A66F91"/>
    <w:rsid w:val="00A67458"/>
    <w:rsid w:val="00A704E8"/>
    <w:rsid w:val="00A7303C"/>
    <w:rsid w:val="00A730C1"/>
    <w:rsid w:val="00A763E5"/>
    <w:rsid w:val="00A766D0"/>
    <w:rsid w:val="00A77554"/>
    <w:rsid w:val="00A817C3"/>
    <w:rsid w:val="00A82F01"/>
    <w:rsid w:val="00A83896"/>
    <w:rsid w:val="00A8684F"/>
    <w:rsid w:val="00A9021A"/>
    <w:rsid w:val="00A95533"/>
    <w:rsid w:val="00A95B3B"/>
    <w:rsid w:val="00A96A94"/>
    <w:rsid w:val="00A96FF9"/>
    <w:rsid w:val="00AA142C"/>
    <w:rsid w:val="00AA5360"/>
    <w:rsid w:val="00AA7FA6"/>
    <w:rsid w:val="00AB0F7F"/>
    <w:rsid w:val="00AB3976"/>
    <w:rsid w:val="00AB3C28"/>
    <w:rsid w:val="00AB713E"/>
    <w:rsid w:val="00AC0A5E"/>
    <w:rsid w:val="00AC24A9"/>
    <w:rsid w:val="00AC764C"/>
    <w:rsid w:val="00AD0C3C"/>
    <w:rsid w:val="00AD1D83"/>
    <w:rsid w:val="00AD6358"/>
    <w:rsid w:val="00AE0FF3"/>
    <w:rsid w:val="00AE606F"/>
    <w:rsid w:val="00AF1E7D"/>
    <w:rsid w:val="00B00488"/>
    <w:rsid w:val="00B026FD"/>
    <w:rsid w:val="00B0388E"/>
    <w:rsid w:val="00B0430F"/>
    <w:rsid w:val="00B047C7"/>
    <w:rsid w:val="00B1128A"/>
    <w:rsid w:val="00B11E94"/>
    <w:rsid w:val="00B12B56"/>
    <w:rsid w:val="00B1525D"/>
    <w:rsid w:val="00B154C4"/>
    <w:rsid w:val="00B2017F"/>
    <w:rsid w:val="00B2080A"/>
    <w:rsid w:val="00B222C8"/>
    <w:rsid w:val="00B241A1"/>
    <w:rsid w:val="00B24C26"/>
    <w:rsid w:val="00B27689"/>
    <w:rsid w:val="00B30296"/>
    <w:rsid w:val="00B35A51"/>
    <w:rsid w:val="00B36040"/>
    <w:rsid w:val="00B370E7"/>
    <w:rsid w:val="00B3746F"/>
    <w:rsid w:val="00B475A0"/>
    <w:rsid w:val="00B514D9"/>
    <w:rsid w:val="00B54B70"/>
    <w:rsid w:val="00B54C2C"/>
    <w:rsid w:val="00B6219F"/>
    <w:rsid w:val="00B6488A"/>
    <w:rsid w:val="00B64D8E"/>
    <w:rsid w:val="00B70291"/>
    <w:rsid w:val="00B734C2"/>
    <w:rsid w:val="00B7585F"/>
    <w:rsid w:val="00B759EB"/>
    <w:rsid w:val="00B76248"/>
    <w:rsid w:val="00B8196F"/>
    <w:rsid w:val="00B819D8"/>
    <w:rsid w:val="00B81BB8"/>
    <w:rsid w:val="00B93344"/>
    <w:rsid w:val="00BA3E19"/>
    <w:rsid w:val="00BA4DAD"/>
    <w:rsid w:val="00BA5E9A"/>
    <w:rsid w:val="00BB0EEC"/>
    <w:rsid w:val="00BB13D0"/>
    <w:rsid w:val="00BB2FEC"/>
    <w:rsid w:val="00BB5F31"/>
    <w:rsid w:val="00BB6F08"/>
    <w:rsid w:val="00BC4D44"/>
    <w:rsid w:val="00BC510D"/>
    <w:rsid w:val="00BD0458"/>
    <w:rsid w:val="00BD07BA"/>
    <w:rsid w:val="00BD3A42"/>
    <w:rsid w:val="00BD4B05"/>
    <w:rsid w:val="00BE661D"/>
    <w:rsid w:val="00BE6D77"/>
    <w:rsid w:val="00BF29DE"/>
    <w:rsid w:val="00BF5A29"/>
    <w:rsid w:val="00BF681B"/>
    <w:rsid w:val="00BF6D63"/>
    <w:rsid w:val="00C0001C"/>
    <w:rsid w:val="00C02347"/>
    <w:rsid w:val="00C23C0E"/>
    <w:rsid w:val="00C24636"/>
    <w:rsid w:val="00C25DFF"/>
    <w:rsid w:val="00C273BF"/>
    <w:rsid w:val="00C27A0D"/>
    <w:rsid w:val="00C27B78"/>
    <w:rsid w:val="00C31D72"/>
    <w:rsid w:val="00C3683A"/>
    <w:rsid w:val="00C41FE4"/>
    <w:rsid w:val="00C44875"/>
    <w:rsid w:val="00C53EA3"/>
    <w:rsid w:val="00C54240"/>
    <w:rsid w:val="00C609E4"/>
    <w:rsid w:val="00C6435E"/>
    <w:rsid w:val="00C64A19"/>
    <w:rsid w:val="00C66F8F"/>
    <w:rsid w:val="00C677EB"/>
    <w:rsid w:val="00C72444"/>
    <w:rsid w:val="00C73023"/>
    <w:rsid w:val="00C73C85"/>
    <w:rsid w:val="00C744B2"/>
    <w:rsid w:val="00C83C17"/>
    <w:rsid w:val="00C8534E"/>
    <w:rsid w:val="00C90A90"/>
    <w:rsid w:val="00C917A3"/>
    <w:rsid w:val="00C91F4C"/>
    <w:rsid w:val="00CA2F03"/>
    <w:rsid w:val="00CA678C"/>
    <w:rsid w:val="00CB4374"/>
    <w:rsid w:val="00CB596A"/>
    <w:rsid w:val="00CB7CDC"/>
    <w:rsid w:val="00CD6B74"/>
    <w:rsid w:val="00CE446F"/>
    <w:rsid w:val="00CF36FB"/>
    <w:rsid w:val="00CF38F0"/>
    <w:rsid w:val="00CF4D46"/>
    <w:rsid w:val="00CF785B"/>
    <w:rsid w:val="00D00555"/>
    <w:rsid w:val="00D02764"/>
    <w:rsid w:val="00D05C23"/>
    <w:rsid w:val="00D105FC"/>
    <w:rsid w:val="00D1146D"/>
    <w:rsid w:val="00D11EB1"/>
    <w:rsid w:val="00D2269C"/>
    <w:rsid w:val="00D30AC3"/>
    <w:rsid w:val="00D32721"/>
    <w:rsid w:val="00D32F5C"/>
    <w:rsid w:val="00D338EC"/>
    <w:rsid w:val="00D4599A"/>
    <w:rsid w:val="00D462AB"/>
    <w:rsid w:val="00D56D75"/>
    <w:rsid w:val="00D62566"/>
    <w:rsid w:val="00D7090F"/>
    <w:rsid w:val="00D72827"/>
    <w:rsid w:val="00D82889"/>
    <w:rsid w:val="00D82D5A"/>
    <w:rsid w:val="00D84D66"/>
    <w:rsid w:val="00D850E4"/>
    <w:rsid w:val="00D8715B"/>
    <w:rsid w:val="00D91DB5"/>
    <w:rsid w:val="00D93C5B"/>
    <w:rsid w:val="00DA38C9"/>
    <w:rsid w:val="00DB13C0"/>
    <w:rsid w:val="00DB19BF"/>
    <w:rsid w:val="00DB2E0D"/>
    <w:rsid w:val="00DB3288"/>
    <w:rsid w:val="00DB7D8E"/>
    <w:rsid w:val="00DC2725"/>
    <w:rsid w:val="00DC3039"/>
    <w:rsid w:val="00DC5E66"/>
    <w:rsid w:val="00DC71F2"/>
    <w:rsid w:val="00DD26BA"/>
    <w:rsid w:val="00DD3E51"/>
    <w:rsid w:val="00DD73D6"/>
    <w:rsid w:val="00DE1788"/>
    <w:rsid w:val="00DE363D"/>
    <w:rsid w:val="00DF2489"/>
    <w:rsid w:val="00E01305"/>
    <w:rsid w:val="00E03AC3"/>
    <w:rsid w:val="00E10E96"/>
    <w:rsid w:val="00E14BA1"/>
    <w:rsid w:val="00E15DFA"/>
    <w:rsid w:val="00E174AF"/>
    <w:rsid w:val="00E251FA"/>
    <w:rsid w:val="00E2551B"/>
    <w:rsid w:val="00E26CDA"/>
    <w:rsid w:val="00E27881"/>
    <w:rsid w:val="00E300D7"/>
    <w:rsid w:val="00E318F7"/>
    <w:rsid w:val="00E3309C"/>
    <w:rsid w:val="00E37B6B"/>
    <w:rsid w:val="00E37C6D"/>
    <w:rsid w:val="00E45170"/>
    <w:rsid w:val="00E462FB"/>
    <w:rsid w:val="00E51257"/>
    <w:rsid w:val="00E51928"/>
    <w:rsid w:val="00E51B23"/>
    <w:rsid w:val="00E55212"/>
    <w:rsid w:val="00E5523F"/>
    <w:rsid w:val="00E619E1"/>
    <w:rsid w:val="00E67DF5"/>
    <w:rsid w:val="00E71B01"/>
    <w:rsid w:val="00E73AD2"/>
    <w:rsid w:val="00E8339A"/>
    <w:rsid w:val="00E8751E"/>
    <w:rsid w:val="00E914DA"/>
    <w:rsid w:val="00E92E0A"/>
    <w:rsid w:val="00E96DDE"/>
    <w:rsid w:val="00E97AEF"/>
    <w:rsid w:val="00EA4C84"/>
    <w:rsid w:val="00EA6B36"/>
    <w:rsid w:val="00EA7BD6"/>
    <w:rsid w:val="00EB0C88"/>
    <w:rsid w:val="00EB6212"/>
    <w:rsid w:val="00EC4F88"/>
    <w:rsid w:val="00EC6E7A"/>
    <w:rsid w:val="00EC7BD8"/>
    <w:rsid w:val="00ED311D"/>
    <w:rsid w:val="00ED6483"/>
    <w:rsid w:val="00EE75D6"/>
    <w:rsid w:val="00EF5D62"/>
    <w:rsid w:val="00F0126B"/>
    <w:rsid w:val="00F029CF"/>
    <w:rsid w:val="00F02A35"/>
    <w:rsid w:val="00F02FE7"/>
    <w:rsid w:val="00F045BD"/>
    <w:rsid w:val="00F04C4E"/>
    <w:rsid w:val="00F07BF3"/>
    <w:rsid w:val="00F1065D"/>
    <w:rsid w:val="00F10FE1"/>
    <w:rsid w:val="00F13A06"/>
    <w:rsid w:val="00F14689"/>
    <w:rsid w:val="00F17006"/>
    <w:rsid w:val="00F213EC"/>
    <w:rsid w:val="00F21827"/>
    <w:rsid w:val="00F2248E"/>
    <w:rsid w:val="00F22F40"/>
    <w:rsid w:val="00F3068E"/>
    <w:rsid w:val="00F36491"/>
    <w:rsid w:val="00F3737C"/>
    <w:rsid w:val="00F43F2E"/>
    <w:rsid w:val="00F4638F"/>
    <w:rsid w:val="00F472A6"/>
    <w:rsid w:val="00F51771"/>
    <w:rsid w:val="00F52809"/>
    <w:rsid w:val="00F56AF3"/>
    <w:rsid w:val="00F707D6"/>
    <w:rsid w:val="00F7098B"/>
    <w:rsid w:val="00F76381"/>
    <w:rsid w:val="00F80147"/>
    <w:rsid w:val="00F80C2E"/>
    <w:rsid w:val="00F81DCE"/>
    <w:rsid w:val="00F83087"/>
    <w:rsid w:val="00F83597"/>
    <w:rsid w:val="00F942F2"/>
    <w:rsid w:val="00F9656A"/>
    <w:rsid w:val="00F97227"/>
    <w:rsid w:val="00F97C24"/>
    <w:rsid w:val="00FA7883"/>
    <w:rsid w:val="00FB1884"/>
    <w:rsid w:val="00FB3CD4"/>
    <w:rsid w:val="00FB4343"/>
    <w:rsid w:val="00FB5C6B"/>
    <w:rsid w:val="00FB6371"/>
    <w:rsid w:val="00FB708A"/>
    <w:rsid w:val="00FB7A7C"/>
    <w:rsid w:val="00FC5D15"/>
    <w:rsid w:val="00FC6924"/>
    <w:rsid w:val="00FD3605"/>
    <w:rsid w:val="00FD49FE"/>
    <w:rsid w:val="00FD7D81"/>
    <w:rsid w:val="00FE0E68"/>
    <w:rsid w:val="00FE20C5"/>
    <w:rsid w:val="00FE78FB"/>
    <w:rsid w:val="00FF0060"/>
    <w:rsid w:val="00FF088B"/>
    <w:rsid w:val="00FF314B"/>
    <w:rsid w:val="00FF5B85"/>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06"/>
    <w:pPr>
      <w:spacing w:after="200" w:line="276" w:lineRule="auto"/>
    </w:pPr>
  </w:style>
  <w:style w:type="paragraph" w:styleId="Heading1">
    <w:name w:val="heading 1"/>
    <w:basedOn w:val="Normal"/>
    <w:next w:val="Normal"/>
    <w:link w:val="Heading1Char"/>
    <w:uiPriority w:val="99"/>
    <w:qFormat/>
    <w:rsid w:val="00CB7CDC"/>
    <w:pPr>
      <w:keepNext/>
      <w:keepLines/>
      <w:pageBreakBefore/>
      <w:spacing w:before="120" w:after="480" w:line="240" w:lineRule="auto"/>
      <w:jc w:val="center"/>
      <w:outlineLvl w:val="0"/>
    </w:pPr>
    <w:rPr>
      <w:rFonts w:ascii="Times New Roman" w:eastAsia="Times New Roman" w:hAnsi="Times New Roman"/>
      <w:b/>
      <w:bCs/>
      <w:sz w:val="30"/>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CDC"/>
    <w:rPr>
      <w:rFonts w:ascii="Times New Roman" w:hAnsi="Times New Roman" w:cs="Times New Roman"/>
      <w:b/>
      <w:bCs/>
      <w:sz w:val="30"/>
      <w:szCs w:val="30"/>
      <w:lang w:val="vi-VN"/>
    </w:rPr>
  </w:style>
  <w:style w:type="table" w:styleId="TableGrid">
    <w:name w:val="Table Grid"/>
    <w:basedOn w:val="TableNormal"/>
    <w:uiPriority w:val="99"/>
    <w:rsid w:val="00D338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38E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5C4A"/>
    <w:pPr>
      <w:ind w:left="720"/>
      <w:contextualSpacing/>
    </w:pPr>
  </w:style>
  <w:style w:type="character" w:styleId="Hyperlink">
    <w:name w:val="Hyperlink"/>
    <w:basedOn w:val="DefaultParagraphFont"/>
    <w:uiPriority w:val="99"/>
    <w:rsid w:val="001437F1"/>
    <w:rPr>
      <w:rFonts w:cs="Times New Roman"/>
      <w:color w:val="0000FF"/>
      <w:u w:val="single"/>
    </w:rPr>
  </w:style>
  <w:style w:type="paragraph" w:styleId="BalloonText">
    <w:name w:val="Balloon Text"/>
    <w:basedOn w:val="Normal"/>
    <w:link w:val="BalloonTextChar"/>
    <w:uiPriority w:val="99"/>
    <w:semiHidden/>
    <w:rsid w:val="00D3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721"/>
    <w:rPr>
      <w:rFonts w:ascii="Tahoma" w:hAnsi="Tahoma" w:cs="Tahoma"/>
      <w:sz w:val="16"/>
      <w:szCs w:val="16"/>
    </w:rPr>
  </w:style>
  <w:style w:type="paragraph" w:styleId="Header">
    <w:name w:val="header"/>
    <w:basedOn w:val="Normal"/>
    <w:link w:val="HeaderChar"/>
    <w:uiPriority w:val="99"/>
    <w:rsid w:val="00D91D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1DB5"/>
    <w:rPr>
      <w:rFonts w:cs="Times New Roman"/>
    </w:rPr>
  </w:style>
  <w:style w:type="paragraph" w:styleId="Footer">
    <w:name w:val="footer"/>
    <w:basedOn w:val="Normal"/>
    <w:link w:val="FooterChar"/>
    <w:uiPriority w:val="99"/>
    <w:rsid w:val="00D91D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1DB5"/>
    <w:rPr>
      <w:rFonts w:cs="Times New Roman"/>
    </w:rPr>
  </w:style>
  <w:style w:type="paragraph" w:styleId="BodyText">
    <w:name w:val="Body Text"/>
    <w:basedOn w:val="Normal"/>
    <w:link w:val="BodyTextChar"/>
    <w:uiPriority w:val="99"/>
    <w:rsid w:val="007B1B1F"/>
    <w:pPr>
      <w:spacing w:after="0" w:line="240" w:lineRule="auto"/>
      <w:jc w:val="center"/>
    </w:pPr>
    <w:rPr>
      <w:rFonts w:ascii="Times New Roman" w:eastAsia="Times New Roman" w:hAnsi="Times New Roman"/>
      <w:b/>
      <w:bCs/>
      <w:sz w:val="28"/>
      <w:szCs w:val="24"/>
      <w:lang w:val="en-GB" w:eastAsia="de-DE"/>
    </w:rPr>
  </w:style>
  <w:style w:type="character" w:customStyle="1" w:styleId="BodyTextChar">
    <w:name w:val="Body Text Char"/>
    <w:basedOn w:val="DefaultParagraphFont"/>
    <w:link w:val="BodyText"/>
    <w:uiPriority w:val="99"/>
    <w:locked/>
    <w:rsid w:val="007B1B1F"/>
    <w:rPr>
      <w:rFonts w:ascii="Times New Roman" w:hAnsi="Times New Roman" w:cs="Times New Roman"/>
      <w:b/>
      <w:bCs/>
      <w:sz w:val="24"/>
      <w:szCs w:val="24"/>
      <w:lang w:val="en-GB" w:eastAsia="de-DE"/>
    </w:rPr>
  </w:style>
  <w:style w:type="paragraph" w:styleId="BodyText2">
    <w:name w:val="Body Text 2"/>
    <w:basedOn w:val="Normal"/>
    <w:link w:val="BodyText2Char"/>
    <w:uiPriority w:val="99"/>
    <w:rsid w:val="007B1B1F"/>
    <w:pPr>
      <w:spacing w:after="0" w:line="480" w:lineRule="auto"/>
      <w:jc w:val="both"/>
    </w:pPr>
    <w:rPr>
      <w:rFonts w:ascii="Times New Roman" w:eastAsia="MS Mincho" w:hAnsi="Times New Roman"/>
      <w:sz w:val="24"/>
      <w:szCs w:val="24"/>
      <w:lang w:val="en-GB" w:eastAsia="ja-JP"/>
    </w:rPr>
  </w:style>
  <w:style w:type="character" w:customStyle="1" w:styleId="BodyText2Char">
    <w:name w:val="Body Text 2 Char"/>
    <w:basedOn w:val="DefaultParagraphFont"/>
    <w:link w:val="BodyText2"/>
    <w:uiPriority w:val="99"/>
    <w:locked/>
    <w:rsid w:val="007B1B1F"/>
    <w:rPr>
      <w:rFonts w:ascii="Times New Roman" w:eastAsia="MS Mincho" w:hAnsi="Times New Roman" w:cs="Times New Roman"/>
      <w:sz w:val="24"/>
      <w:szCs w:val="24"/>
      <w:lang w:val="en-GB" w:eastAsia="ja-JP"/>
    </w:rPr>
  </w:style>
  <w:style w:type="paragraph" w:styleId="FootnoteText">
    <w:name w:val="footnote text"/>
    <w:basedOn w:val="Normal"/>
    <w:link w:val="FootnoteTextChar"/>
    <w:uiPriority w:val="99"/>
    <w:semiHidden/>
    <w:rsid w:val="007B1B1F"/>
    <w:pPr>
      <w:spacing w:after="0" w:line="240" w:lineRule="auto"/>
    </w:pPr>
    <w:rPr>
      <w:rFonts w:ascii="Times New Roman" w:eastAsia="MS Mincho" w:hAnsi="Times New Roman"/>
      <w:sz w:val="20"/>
      <w:szCs w:val="20"/>
      <w:lang w:val="de-DE" w:eastAsia="ja-JP"/>
    </w:rPr>
  </w:style>
  <w:style w:type="character" w:customStyle="1" w:styleId="FootnoteTextChar">
    <w:name w:val="Footnote Text Char"/>
    <w:basedOn w:val="DefaultParagraphFont"/>
    <w:link w:val="FootnoteText"/>
    <w:uiPriority w:val="99"/>
    <w:semiHidden/>
    <w:locked/>
    <w:rsid w:val="007B1B1F"/>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rsid w:val="007B1B1F"/>
    <w:rPr>
      <w:rFonts w:cs="Times New Roman"/>
      <w:vertAlign w:val="superscript"/>
    </w:rPr>
  </w:style>
  <w:style w:type="character" w:styleId="FollowedHyperlink">
    <w:name w:val="FollowedHyperlink"/>
    <w:basedOn w:val="DefaultParagraphFont"/>
    <w:uiPriority w:val="99"/>
    <w:semiHidden/>
    <w:rsid w:val="007B1B1F"/>
    <w:rPr>
      <w:rFonts w:cs="Times New Roman"/>
      <w:color w:val="800080"/>
      <w:u w:val="single"/>
    </w:rPr>
  </w:style>
  <w:style w:type="character" w:styleId="CommentReference">
    <w:name w:val="annotation reference"/>
    <w:basedOn w:val="DefaultParagraphFont"/>
    <w:uiPriority w:val="99"/>
    <w:semiHidden/>
    <w:rsid w:val="00B70291"/>
    <w:rPr>
      <w:rFonts w:cs="Times New Roman"/>
      <w:sz w:val="16"/>
      <w:szCs w:val="16"/>
    </w:rPr>
  </w:style>
  <w:style w:type="paragraph" w:styleId="CommentText">
    <w:name w:val="annotation text"/>
    <w:basedOn w:val="Normal"/>
    <w:link w:val="CommentTextChar"/>
    <w:uiPriority w:val="99"/>
    <w:semiHidden/>
    <w:rsid w:val="00B702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0291"/>
    <w:rPr>
      <w:rFonts w:cs="Times New Roman"/>
      <w:sz w:val="20"/>
      <w:szCs w:val="20"/>
    </w:rPr>
  </w:style>
  <w:style w:type="paragraph" w:styleId="CommentSubject">
    <w:name w:val="annotation subject"/>
    <w:basedOn w:val="CommentText"/>
    <w:next w:val="CommentText"/>
    <w:link w:val="CommentSubjectChar"/>
    <w:uiPriority w:val="99"/>
    <w:semiHidden/>
    <w:rsid w:val="00B70291"/>
    <w:rPr>
      <w:b/>
      <w:bCs/>
    </w:rPr>
  </w:style>
  <w:style w:type="character" w:customStyle="1" w:styleId="CommentSubjectChar">
    <w:name w:val="Comment Subject Char"/>
    <w:basedOn w:val="CommentTextChar"/>
    <w:link w:val="CommentSubject"/>
    <w:uiPriority w:val="99"/>
    <w:semiHidden/>
    <w:locked/>
    <w:rsid w:val="00B7029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06"/>
    <w:pPr>
      <w:spacing w:after="200" w:line="276" w:lineRule="auto"/>
    </w:pPr>
  </w:style>
  <w:style w:type="paragraph" w:styleId="Heading1">
    <w:name w:val="heading 1"/>
    <w:basedOn w:val="Normal"/>
    <w:next w:val="Normal"/>
    <w:link w:val="Heading1Char"/>
    <w:uiPriority w:val="99"/>
    <w:qFormat/>
    <w:rsid w:val="00CB7CDC"/>
    <w:pPr>
      <w:keepNext/>
      <w:keepLines/>
      <w:pageBreakBefore/>
      <w:spacing w:before="120" w:after="480" w:line="240" w:lineRule="auto"/>
      <w:jc w:val="center"/>
      <w:outlineLvl w:val="0"/>
    </w:pPr>
    <w:rPr>
      <w:rFonts w:ascii="Times New Roman" w:eastAsia="Times New Roman" w:hAnsi="Times New Roman"/>
      <w:b/>
      <w:bCs/>
      <w:sz w:val="30"/>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CDC"/>
    <w:rPr>
      <w:rFonts w:ascii="Times New Roman" w:hAnsi="Times New Roman" w:cs="Times New Roman"/>
      <w:b/>
      <w:bCs/>
      <w:sz w:val="30"/>
      <w:szCs w:val="30"/>
      <w:lang w:val="vi-VN"/>
    </w:rPr>
  </w:style>
  <w:style w:type="table" w:styleId="TableGrid">
    <w:name w:val="Table Grid"/>
    <w:basedOn w:val="TableNormal"/>
    <w:uiPriority w:val="99"/>
    <w:rsid w:val="00D338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38E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5C4A"/>
    <w:pPr>
      <w:ind w:left="720"/>
      <w:contextualSpacing/>
    </w:pPr>
  </w:style>
  <w:style w:type="character" w:styleId="Hyperlink">
    <w:name w:val="Hyperlink"/>
    <w:basedOn w:val="DefaultParagraphFont"/>
    <w:uiPriority w:val="99"/>
    <w:rsid w:val="001437F1"/>
    <w:rPr>
      <w:rFonts w:cs="Times New Roman"/>
      <w:color w:val="0000FF"/>
      <w:u w:val="single"/>
    </w:rPr>
  </w:style>
  <w:style w:type="paragraph" w:styleId="BalloonText">
    <w:name w:val="Balloon Text"/>
    <w:basedOn w:val="Normal"/>
    <w:link w:val="BalloonTextChar"/>
    <w:uiPriority w:val="99"/>
    <w:semiHidden/>
    <w:rsid w:val="00D3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721"/>
    <w:rPr>
      <w:rFonts w:ascii="Tahoma" w:hAnsi="Tahoma" w:cs="Tahoma"/>
      <w:sz w:val="16"/>
      <w:szCs w:val="16"/>
    </w:rPr>
  </w:style>
  <w:style w:type="paragraph" w:styleId="Header">
    <w:name w:val="header"/>
    <w:basedOn w:val="Normal"/>
    <w:link w:val="HeaderChar"/>
    <w:uiPriority w:val="99"/>
    <w:rsid w:val="00D91D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1DB5"/>
    <w:rPr>
      <w:rFonts w:cs="Times New Roman"/>
    </w:rPr>
  </w:style>
  <w:style w:type="paragraph" w:styleId="Footer">
    <w:name w:val="footer"/>
    <w:basedOn w:val="Normal"/>
    <w:link w:val="FooterChar"/>
    <w:uiPriority w:val="99"/>
    <w:rsid w:val="00D91D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1DB5"/>
    <w:rPr>
      <w:rFonts w:cs="Times New Roman"/>
    </w:rPr>
  </w:style>
  <w:style w:type="paragraph" w:styleId="BodyText">
    <w:name w:val="Body Text"/>
    <w:basedOn w:val="Normal"/>
    <w:link w:val="BodyTextChar"/>
    <w:uiPriority w:val="99"/>
    <w:rsid w:val="007B1B1F"/>
    <w:pPr>
      <w:spacing w:after="0" w:line="240" w:lineRule="auto"/>
      <w:jc w:val="center"/>
    </w:pPr>
    <w:rPr>
      <w:rFonts w:ascii="Times New Roman" w:eastAsia="Times New Roman" w:hAnsi="Times New Roman"/>
      <w:b/>
      <w:bCs/>
      <w:sz w:val="28"/>
      <w:szCs w:val="24"/>
      <w:lang w:val="en-GB" w:eastAsia="de-DE"/>
    </w:rPr>
  </w:style>
  <w:style w:type="character" w:customStyle="1" w:styleId="BodyTextChar">
    <w:name w:val="Body Text Char"/>
    <w:basedOn w:val="DefaultParagraphFont"/>
    <w:link w:val="BodyText"/>
    <w:uiPriority w:val="99"/>
    <w:locked/>
    <w:rsid w:val="007B1B1F"/>
    <w:rPr>
      <w:rFonts w:ascii="Times New Roman" w:hAnsi="Times New Roman" w:cs="Times New Roman"/>
      <w:b/>
      <w:bCs/>
      <w:sz w:val="24"/>
      <w:szCs w:val="24"/>
      <w:lang w:val="en-GB" w:eastAsia="de-DE"/>
    </w:rPr>
  </w:style>
  <w:style w:type="paragraph" w:styleId="BodyText2">
    <w:name w:val="Body Text 2"/>
    <w:basedOn w:val="Normal"/>
    <w:link w:val="BodyText2Char"/>
    <w:uiPriority w:val="99"/>
    <w:rsid w:val="007B1B1F"/>
    <w:pPr>
      <w:spacing w:after="0" w:line="480" w:lineRule="auto"/>
      <w:jc w:val="both"/>
    </w:pPr>
    <w:rPr>
      <w:rFonts w:ascii="Times New Roman" w:eastAsia="MS Mincho" w:hAnsi="Times New Roman"/>
      <w:sz w:val="24"/>
      <w:szCs w:val="24"/>
      <w:lang w:val="en-GB" w:eastAsia="ja-JP"/>
    </w:rPr>
  </w:style>
  <w:style w:type="character" w:customStyle="1" w:styleId="BodyText2Char">
    <w:name w:val="Body Text 2 Char"/>
    <w:basedOn w:val="DefaultParagraphFont"/>
    <w:link w:val="BodyText2"/>
    <w:uiPriority w:val="99"/>
    <w:locked/>
    <w:rsid w:val="007B1B1F"/>
    <w:rPr>
      <w:rFonts w:ascii="Times New Roman" w:eastAsia="MS Mincho" w:hAnsi="Times New Roman" w:cs="Times New Roman"/>
      <w:sz w:val="24"/>
      <w:szCs w:val="24"/>
      <w:lang w:val="en-GB" w:eastAsia="ja-JP"/>
    </w:rPr>
  </w:style>
  <w:style w:type="paragraph" w:styleId="FootnoteText">
    <w:name w:val="footnote text"/>
    <w:basedOn w:val="Normal"/>
    <w:link w:val="FootnoteTextChar"/>
    <w:uiPriority w:val="99"/>
    <w:semiHidden/>
    <w:rsid w:val="007B1B1F"/>
    <w:pPr>
      <w:spacing w:after="0" w:line="240" w:lineRule="auto"/>
    </w:pPr>
    <w:rPr>
      <w:rFonts w:ascii="Times New Roman" w:eastAsia="MS Mincho" w:hAnsi="Times New Roman"/>
      <w:sz w:val="20"/>
      <w:szCs w:val="20"/>
      <w:lang w:val="de-DE" w:eastAsia="ja-JP"/>
    </w:rPr>
  </w:style>
  <w:style w:type="character" w:customStyle="1" w:styleId="FootnoteTextChar">
    <w:name w:val="Footnote Text Char"/>
    <w:basedOn w:val="DefaultParagraphFont"/>
    <w:link w:val="FootnoteText"/>
    <w:uiPriority w:val="99"/>
    <w:semiHidden/>
    <w:locked/>
    <w:rsid w:val="007B1B1F"/>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rsid w:val="007B1B1F"/>
    <w:rPr>
      <w:rFonts w:cs="Times New Roman"/>
      <w:vertAlign w:val="superscript"/>
    </w:rPr>
  </w:style>
  <w:style w:type="character" w:styleId="FollowedHyperlink">
    <w:name w:val="FollowedHyperlink"/>
    <w:basedOn w:val="DefaultParagraphFont"/>
    <w:uiPriority w:val="99"/>
    <w:semiHidden/>
    <w:rsid w:val="007B1B1F"/>
    <w:rPr>
      <w:rFonts w:cs="Times New Roman"/>
      <w:color w:val="800080"/>
      <w:u w:val="single"/>
    </w:rPr>
  </w:style>
  <w:style w:type="character" w:styleId="CommentReference">
    <w:name w:val="annotation reference"/>
    <w:basedOn w:val="DefaultParagraphFont"/>
    <w:uiPriority w:val="99"/>
    <w:semiHidden/>
    <w:rsid w:val="00B70291"/>
    <w:rPr>
      <w:rFonts w:cs="Times New Roman"/>
      <w:sz w:val="16"/>
      <w:szCs w:val="16"/>
    </w:rPr>
  </w:style>
  <w:style w:type="paragraph" w:styleId="CommentText">
    <w:name w:val="annotation text"/>
    <w:basedOn w:val="Normal"/>
    <w:link w:val="CommentTextChar"/>
    <w:uiPriority w:val="99"/>
    <w:semiHidden/>
    <w:rsid w:val="00B702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0291"/>
    <w:rPr>
      <w:rFonts w:cs="Times New Roman"/>
      <w:sz w:val="20"/>
      <w:szCs w:val="20"/>
    </w:rPr>
  </w:style>
  <w:style w:type="paragraph" w:styleId="CommentSubject">
    <w:name w:val="annotation subject"/>
    <w:basedOn w:val="CommentText"/>
    <w:next w:val="CommentText"/>
    <w:link w:val="CommentSubjectChar"/>
    <w:uiPriority w:val="99"/>
    <w:semiHidden/>
    <w:rsid w:val="00B70291"/>
    <w:rPr>
      <w:b/>
      <w:bCs/>
    </w:rPr>
  </w:style>
  <w:style w:type="character" w:customStyle="1" w:styleId="CommentSubjectChar">
    <w:name w:val="Comment Subject Char"/>
    <w:basedOn w:val="CommentTextChar"/>
    <w:link w:val="CommentSubject"/>
    <w:uiPriority w:val="99"/>
    <w:semiHidden/>
    <w:locked/>
    <w:rsid w:val="00B7029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entruong7@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yentruong7@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Sheet1!$B$1</c:f>
              <c:strCache>
                <c:ptCount val="1"/>
                <c:pt idx="0">
                  <c:v>Sales</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tx>
                <c:rich>
                  <a:bodyPr/>
                  <a:lstStyle/>
                  <a:p>
                    <a:r>
                      <a:rPr lang="en-US"/>
                      <a:t> 51.9</a:t>
                    </a:r>
                  </a:p>
                </c:rich>
              </c:tx>
              <c:showLegendKey val="0"/>
              <c:showVal val="1"/>
              <c:showCatName val="1"/>
              <c:showSerName val="0"/>
              <c:showPercent val="0"/>
              <c:showBubbleSize val="0"/>
            </c:dLbl>
            <c:dLbl>
              <c:idx val="1"/>
              <c:tx>
                <c:rich>
                  <a:bodyPr/>
                  <a:lstStyle/>
                  <a:p>
                    <a:r>
                      <a:rPr lang="en-US"/>
                      <a:t>30.1</a:t>
                    </a:r>
                  </a:p>
                </c:rich>
              </c:tx>
              <c:showLegendKey val="0"/>
              <c:showVal val="1"/>
              <c:showCatName val="1"/>
              <c:showSerName val="0"/>
              <c:showPercent val="0"/>
              <c:showBubbleSize val="0"/>
            </c:dLbl>
            <c:dLbl>
              <c:idx val="2"/>
              <c:tx>
                <c:rich>
                  <a:bodyPr/>
                  <a:lstStyle/>
                  <a:p>
                    <a:r>
                      <a:rPr lang="en-US"/>
                      <a:t>15.8</a:t>
                    </a:r>
                  </a:p>
                </c:rich>
              </c:tx>
              <c:showLegendKey val="0"/>
              <c:showVal val="1"/>
              <c:showCatName val="1"/>
              <c:showSerName val="0"/>
              <c:showPercent val="0"/>
              <c:showBubbleSize val="0"/>
            </c:dLbl>
            <c:dLbl>
              <c:idx val="3"/>
              <c:tx>
                <c:rich>
                  <a:bodyPr/>
                  <a:lstStyle/>
                  <a:p>
                    <a:r>
                      <a:rPr lang="en-US"/>
                      <a:t>2.2</a:t>
                    </a:r>
                  </a:p>
                </c:rich>
              </c:tx>
              <c:showLegendKey val="0"/>
              <c:showVal val="1"/>
              <c:showCatName val="1"/>
              <c:showSerName val="0"/>
              <c:showPercent val="0"/>
              <c:showBubbleSize val="0"/>
            </c:dLbl>
            <c:showLegendKey val="0"/>
            <c:showVal val="1"/>
            <c:showCatName val="1"/>
            <c:showSerName val="0"/>
            <c:showPercent val="0"/>
            <c:showBubbleSize val="0"/>
            <c:showLeaderLines val="0"/>
            <c:extLst>
              <c:ext xmlns:c15="http://schemas.microsoft.com/office/drawing/2012/chart" uri="{CE6537A1-D6FC-4f65-9D91-7224C49458BB}"/>
            </c:extLst>
          </c:dLbls>
          <c:cat>
            <c:strRef>
              <c:f>Sheet1!$A$2:$A$5</c:f>
              <c:strCache>
                <c:ptCount val="4"/>
                <c:pt idx="0">
                  <c:v>Mù chữ</c:v>
                </c:pt>
                <c:pt idx="1">
                  <c:v>Tiểu học</c:v>
                </c:pt>
                <c:pt idx="2">
                  <c:v>THCS</c:v>
                </c:pt>
                <c:pt idx="3">
                  <c:v>THPT</c:v>
                </c:pt>
              </c:strCache>
            </c:strRef>
          </c:cat>
          <c:val>
            <c:numRef>
              <c:f>Sheet1!$B$2:$B$5</c:f>
              <c:numCache>
                <c:formatCode>General</c:formatCode>
                <c:ptCount val="4"/>
                <c:pt idx="0">
                  <c:v>51.9</c:v>
                </c:pt>
                <c:pt idx="1">
                  <c:v>30.1</c:v>
                </c:pt>
                <c:pt idx="2">
                  <c:v>15.8</c:v>
                </c:pt>
                <c:pt idx="3">
                  <c:v>2.2000000000000002</c:v>
                </c:pt>
              </c:numCache>
            </c:numRef>
          </c:val>
        </c:ser>
        <c:dLbls>
          <c:showLegendKey val="0"/>
          <c:showVal val="0"/>
          <c:showCatName val="0"/>
          <c:showSerName val="0"/>
          <c:showPercent val="0"/>
          <c:showBubbleSize val="0"/>
        </c:dLbls>
        <c:gapWidth val="100"/>
        <c:axId val="61076992"/>
        <c:axId val="61078528"/>
      </c:barChart>
      <c:catAx>
        <c:axId val="61076992"/>
        <c:scaling>
          <c:orientation val="minMax"/>
        </c:scaling>
        <c:delete val="0"/>
        <c:axPos val="b"/>
        <c:majorTickMark val="out"/>
        <c:minorTickMark val="none"/>
        <c:tickLblPos val="nextTo"/>
        <c:crossAx val="61078528"/>
        <c:crosses val="autoZero"/>
        <c:auto val="1"/>
        <c:lblAlgn val="ctr"/>
        <c:lblOffset val="100"/>
        <c:noMultiLvlLbl val="0"/>
      </c:catAx>
      <c:valAx>
        <c:axId val="61078528"/>
        <c:scaling>
          <c:orientation val="minMax"/>
        </c:scaling>
        <c:delete val="0"/>
        <c:axPos val="l"/>
        <c:majorGridlines/>
        <c:numFmt formatCode="General" sourceLinked="1"/>
        <c:majorTickMark val="out"/>
        <c:minorTickMark val="none"/>
        <c:tickLblPos val="nextTo"/>
        <c:crossAx val="61076992"/>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Không có việc làm</c:v>
                </c:pt>
                <c:pt idx="1">
                  <c:v>Cát sạn/đánh cá</c:v>
                </c:pt>
                <c:pt idx="2">
                  <c:v>Buôn bán nhỏ</c:v>
                </c:pt>
                <c:pt idx="3">
                  <c:v>Phụ hồ, thợ nề</c:v>
                </c:pt>
                <c:pt idx="4">
                  <c:v>Xe ôm/xích lô</c:v>
                </c:pt>
                <c:pt idx="5">
                  <c:v>Khác</c:v>
                </c:pt>
              </c:strCache>
            </c:strRef>
          </c:cat>
          <c:val>
            <c:numRef>
              <c:f>Sheet1!$B$2:$B$7</c:f>
              <c:numCache>
                <c:formatCode>General</c:formatCode>
                <c:ptCount val="6"/>
                <c:pt idx="0">
                  <c:v>19.600000000000001</c:v>
                </c:pt>
                <c:pt idx="1">
                  <c:v>7.6</c:v>
                </c:pt>
                <c:pt idx="2">
                  <c:v>11.4</c:v>
                </c:pt>
                <c:pt idx="3">
                  <c:v>20.7</c:v>
                </c:pt>
                <c:pt idx="4">
                  <c:v>18</c:v>
                </c:pt>
                <c:pt idx="5">
                  <c:v>22.4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Có </c:v>
                </c:pt>
              </c:strCache>
            </c:strRef>
          </c:tx>
          <c:invertIfNegative val="0"/>
          <c:dLbls>
            <c:dLbl>
              <c:idx val="0"/>
              <c:layout>
                <c:manualLayout>
                  <c:x val="-6.2915910465819763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0496067755595954E-2"/>
                  <c:y val="-1.8691588785046735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5335753176043676E-2"/>
                  <c:y val="-1.8691588785046735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Miễn giảm học phí</c:v>
                </c:pt>
                <c:pt idx="1">
                  <c:v>Hỗ trợ tiền ăn</c:v>
                </c:pt>
                <c:pt idx="2">
                  <c:v>Trợ cấp một phần chi phí</c:v>
                </c:pt>
              </c:strCache>
            </c:strRef>
          </c:cat>
          <c:val>
            <c:numRef>
              <c:f>Sheet1!$B$2:$B$4</c:f>
              <c:numCache>
                <c:formatCode>General</c:formatCode>
                <c:ptCount val="3"/>
                <c:pt idx="0">
                  <c:v>15.8</c:v>
                </c:pt>
                <c:pt idx="1">
                  <c:v>9.3000000000000007</c:v>
                </c:pt>
                <c:pt idx="2">
                  <c:v>12.8</c:v>
                </c:pt>
              </c:numCache>
            </c:numRef>
          </c:val>
        </c:ser>
        <c:ser>
          <c:idx val="1"/>
          <c:order val="1"/>
          <c:tx>
            <c:strRef>
              <c:f>Sheet1!$C$1</c:f>
              <c:strCache>
                <c:ptCount val="1"/>
                <c:pt idx="0">
                  <c:v>Không </c:v>
                </c:pt>
              </c:strCache>
            </c:strRef>
          </c:tx>
          <c:invertIfNegative val="0"/>
          <c:dLbls>
            <c:dLbl>
              <c:idx val="0"/>
              <c:layout>
                <c:manualLayout>
                  <c:x val="6.0707312069086874E-3"/>
                  <c:y val="3.910631775558486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7877556757464496E-3"/>
                  <c:y val="5.4805608278524438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504566205649656E-2"/>
                  <c:y val="5.4054018541403459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Miễn giảm học phí</c:v>
                </c:pt>
                <c:pt idx="1">
                  <c:v>Hỗ trợ tiền ăn</c:v>
                </c:pt>
                <c:pt idx="2">
                  <c:v>Trợ cấp một phần chi phí</c:v>
                </c:pt>
              </c:strCache>
            </c:strRef>
          </c:cat>
          <c:val>
            <c:numRef>
              <c:f>Sheet1!$C$2:$C$4</c:f>
              <c:numCache>
                <c:formatCode>General</c:formatCode>
                <c:ptCount val="3"/>
                <c:pt idx="0">
                  <c:v>84.2</c:v>
                </c:pt>
                <c:pt idx="1">
                  <c:v>90.7</c:v>
                </c:pt>
                <c:pt idx="2">
                  <c:v>87.2</c:v>
                </c:pt>
              </c:numCache>
            </c:numRef>
          </c:val>
        </c:ser>
        <c:dLbls>
          <c:showLegendKey val="0"/>
          <c:showVal val="0"/>
          <c:showCatName val="0"/>
          <c:showSerName val="0"/>
          <c:showPercent val="0"/>
          <c:showBubbleSize val="0"/>
        </c:dLbls>
        <c:gapWidth val="95"/>
        <c:axId val="59814272"/>
        <c:axId val="59815808"/>
      </c:barChart>
      <c:catAx>
        <c:axId val="59814272"/>
        <c:scaling>
          <c:orientation val="minMax"/>
        </c:scaling>
        <c:delete val="0"/>
        <c:axPos val="b"/>
        <c:numFmt formatCode="General" sourceLinked="1"/>
        <c:majorTickMark val="none"/>
        <c:minorTickMark val="none"/>
        <c:tickLblPos val="nextTo"/>
        <c:crossAx val="59815808"/>
        <c:crosses val="autoZero"/>
        <c:auto val="1"/>
        <c:lblAlgn val="ctr"/>
        <c:lblOffset val="100"/>
        <c:noMultiLvlLbl val="0"/>
      </c:catAx>
      <c:valAx>
        <c:axId val="59815808"/>
        <c:scaling>
          <c:orientation val="minMax"/>
        </c:scaling>
        <c:delete val="1"/>
        <c:axPos val="l"/>
        <c:numFmt formatCode="General" sourceLinked="1"/>
        <c:majorTickMark val="out"/>
        <c:minorTickMark val="none"/>
        <c:tickLblPos val="nextTo"/>
        <c:crossAx val="59814272"/>
        <c:crosses val="autoZero"/>
        <c:crossBetween val="between"/>
      </c:valAx>
    </c:plotArea>
    <c:legend>
      <c:legendPos val="t"/>
      <c:layout>
        <c:manualLayout>
          <c:xMode val="edge"/>
          <c:yMode val="edge"/>
          <c:x val="0.37221015294066612"/>
          <c:y val="2.667959568187258E-2"/>
          <c:w val="0.20468714532936005"/>
          <c:h val="0.15087835480685655"/>
        </c:manualLayout>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0.06887</cdr:y>
    </cdr:from>
    <cdr:to>
      <cdr:x>1</cdr:x>
      <cdr:y>0.08316</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82822"/>
        <a:stretch xmlns:a="http://schemas.openxmlformats.org/drawingml/2006/main"/>
      </cdr:blipFill>
      <cdr:spPr>
        <a:xfrm xmlns:a="http://schemas.openxmlformats.org/drawingml/2006/main">
          <a:off x="0" y="220426"/>
          <a:ext cx="5486400" cy="4571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0C34-C58F-4549-A867-493F9D86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HỖ TRỢ CỘNG ĐỒNG THỦY DIỆN TÁI ĐỊNH CƯ TIẾP CẬN</vt:lpstr>
    </vt:vector>
  </TitlesOfParts>
  <Company>Freeware Sys</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HỖ TRỢ CỘNG ĐỒNG THỦY DIỆN TÁI ĐỊNH CƯ TIẾP CẬN</dc:title>
  <dc:creator>Anh Phuong</dc:creator>
  <cp:lastModifiedBy>Admin</cp:lastModifiedBy>
  <cp:revision>325</cp:revision>
  <cp:lastPrinted>2017-11-27T02:00:00Z</cp:lastPrinted>
  <dcterms:created xsi:type="dcterms:W3CDTF">2018-03-09T02:33:00Z</dcterms:created>
  <dcterms:modified xsi:type="dcterms:W3CDTF">2018-12-05T02:22:00Z</dcterms:modified>
</cp:coreProperties>
</file>