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86F8" w14:textId="5F980497" w:rsidR="00240E21" w:rsidRPr="00837F50" w:rsidRDefault="00000437" w:rsidP="00670B73">
      <w:pPr>
        <w:autoSpaceDE w:val="0"/>
        <w:autoSpaceDN w:val="0"/>
        <w:adjustRightInd w:val="0"/>
        <w:spacing w:line="288" w:lineRule="auto"/>
        <w:jc w:val="center"/>
        <w:rPr>
          <w:b/>
        </w:rPr>
      </w:pPr>
      <w:r w:rsidRPr="00837F50">
        <w:rPr>
          <w:b/>
        </w:rPr>
        <w:t xml:space="preserve">ĐÁNH GIÁ </w:t>
      </w:r>
      <w:r w:rsidR="00770A86" w:rsidRPr="00837F50">
        <w:rPr>
          <w:b/>
        </w:rPr>
        <w:t>HIỆU QUẢ</w:t>
      </w:r>
      <w:r w:rsidR="00DE18E4" w:rsidRPr="00837F50">
        <w:rPr>
          <w:b/>
        </w:rPr>
        <w:t xml:space="preserve"> SỬ DỤNG ĐẤT TẠI KHU CÔNG NGHIỆP BÀU XÉO, HUYỆN TRẢNG BOM, TỈNH ĐỒNG NAI</w:t>
      </w:r>
    </w:p>
    <w:p w14:paraId="27303DAF" w14:textId="77777777" w:rsidR="00A86CF8" w:rsidRPr="00837F50" w:rsidRDefault="00A86CF8" w:rsidP="00670B73">
      <w:pPr>
        <w:autoSpaceDE w:val="0"/>
        <w:autoSpaceDN w:val="0"/>
        <w:adjustRightInd w:val="0"/>
        <w:spacing w:line="288" w:lineRule="auto"/>
        <w:jc w:val="center"/>
        <w:rPr>
          <w:b/>
        </w:rPr>
      </w:pPr>
    </w:p>
    <w:p w14:paraId="248484BD" w14:textId="77777777" w:rsidR="00AC33EF" w:rsidRDefault="00AC33EF" w:rsidP="00670B73">
      <w:pPr>
        <w:spacing w:line="288" w:lineRule="auto"/>
        <w:ind w:firstLine="720"/>
        <w:jc w:val="both"/>
      </w:pPr>
    </w:p>
    <w:p w14:paraId="0AE50501" w14:textId="77777777" w:rsidR="00AC33EF" w:rsidRDefault="00AC33EF" w:rsidP="00670B73">
      <w:pPr>
        <w:spacing w:line="288" w:lineRule="auto"/>
        <w:ind w:firstLine="720"/>
        <w:jc w:val="both"/>
      </w:pPr>
    </w:p>
    <w:p w14:paraId="28D6BD8E" w14:textId="32F4A0D7" w:rsidR="00A86CF8" w:rsidRPr="00623CC5" w:rsidRDefault="0018758D" w:rsidP="00623CC5">
      <w:pPr>
        <w:spacing w:line="288" w:lineRule="auto"/>
        <w:ind w:firstLine="720"/>
        <w:jc w:val="both"/>
        <w:rPr>
          <w:rFonts w:eastAsia="Times New Roman"/>
          <w:lang w:val="af-ZA" w:eastAsia="x-none"/>
        </w:rPr>
      </w:pPr>
      <w:r w:rsidRPr="00837F50">
        <w:rPr>
          <w:b/>
        </w:rPr>
        <w:t xml:space="preserve">Tóm tắt: </w:t>
      </w:r>
      <w:r w:rsidR="00E31C1F" w:rsidRPr="00837F50">
        <w:t xml:space="preserve">Bài báo này nhằm </w:t>
      </w:r>
      <w:r w:rsidR="008D7457" w:rsidRPr="00837F50">
        <w:t xml:space="preserve">mục </w:t>
      </w:r>
      <w:r w:rsidR="00E31C1F" w:rsidRPr="00837F50">
        <w:t>đích</w:t>
      </w:r>
      <w:r w:rsidR="008D7457" w:rsidRPr="00837F50">
        <w:t xml:space="preserve"> đánh giá </w:t>
      </w:r>
      <w:r w:rsidR="00E31C1F" w:rsidRPr="00837F50">
        <w:t>được hiệu quả sử dụng đất tại Khu công nghiệp</w:t>
      </w:r>
      <w:r w:rsidR="00FA29A2">
        <w:t xml:space="preserve"> (KCN)</w:t>
      </w:r>
      <w:r w:rsidR="00E31C1F" w:rsidRPr="00837F50">
        <w:t xml:space="preserve"> Bàu Xéo, huyện Trảng Bom, tỉnh Đồng Nai</w:t>
      </w:r>
      <w:r w:rsidR="00E86500" w:rsidRPr="00837F50">
        <w:t xml:space="preserve"> dựa trên các chỉ tiêu về hiệu quả kinh tế, xã hội và môi trường thông qua thu thập các số liệu, tài liệu liên quan đến tình hình hoạt động của KCN Bàu Xéo trong giai đoạn 2011-2016. Kết quả nghiên cứu cho thấy, v</w:t>
      </w:r>
      <w:r w:rsidR="008D7457" w:rsidRPr="00837F50">
        <w:rPr>
          <w:rFonts w:eastAsia="Times New Roman"/>
          <w:lang w:val="af-ZA" w:eastAsia="x-none"/>
        </w:rPr>
        <w:t xml:space="preserve">iệc sử dụng đất của </w:t>
      </w:r>
      <w:r w:rsidR="008D7457" w:rsidRPr="00837F50">
        <w:rPr>
          <w:rFonts w:eastAsia="Times New Roman"/>
          <w:lang w:eastAsia="x-none"/>
        </w:rPr>
        <w:t>KCN Bàu Xéo</w:t>
      </w:r>
      <w:r w:rsidR="00E86500" w:rsidRPr="00837F50">
        <w:rPr>
          <w:rFonts w:eastAsia="Times New Roman"/>
          <w:lang w:eastAsia="x-none"/>
        </w:rPr>
        <w:t xml:space="preserve"> trong thời gian qua </w:t>
      </w:r>
      <w:r w:rsidR="008D7457" w:rsidRPr="00837F50">
        <w:rPr>
          <w:rFonts w:eastAsia="Times New Roman"/>
          <w:lang w:val="af-ZA" w:eastAsia="x-none"/>
        </w:rPr>
        <w:t xml:space="preserve">đã </w:t>
      </w:r>
      <w:r w:rsidR="008D7457" w:rsidRPr="00837F50">
        <w:t xml:space="preserve">khẳng định hiệu quả </w:t>
      </w:r>
      <w:r w:rsidR="00A86CF8" w:rsidRPr="00837F50">
        <w:t xml:space="preserve">sử dụng đất </w:t>
      </w:r>
      <w:r w:rsidR="00E86500" w:rsidRPr="00837F50">
        <w:t xml:space="preserve">với </w:t>
      </w:r>
      <w:r w:rsidR="008D7457" w:rsidRPr="00837F50">
        <w:t xml:space="preserve">tổng doanh thu </w:t>
      </w:r>
      <w:r w:rsidR="00A86CF8" w:rsidRPr="00837F50">
        <w:t>đ</w:t>
      </w:r>
      <w:r w:rsidR="00A86CF8" w:rsidRPr="00837F50">
        <w:rPr>
          <w:lang w:val="af-ZA"/>
        </w:rPr>
        <w:t>ạt được tăng từ 4.600 tỷ đồng lên 15.613 tỷ đồ</w:t>
      </w:r>
      <w:r w:rsidR="00FA29A2">
        <w:rPr>
          <w:lang w:val="af-ZA"/>
        </w:rPr>
        <w:t>ng,</w:t>
      </w:r>
      <w:r w:rsidR="00A86CF8" w:rsidRPr="00837F50">
        <w:rPr>
          <w:lang w:val="af-ZA"/>
        </w:rPr>
        <w:t xml:space="preserve"> tỷ lệ lấp đầy đạt hơn 90% và thực hiện </w:t>
      </w:r>
      <w:r w:rsidR="008D7457" w:rsidRPr="00837F50">
        <w:rPr>
          <w:rFonts w:eastAsia="Times New Roman"/>
          <w:lang w:val="af-ZA" w:eastAsia="x-none"/>
        </w:rPr>
        <w:t>nộp ngân sách nhà nư</w:t>
      </w:r>
      <w:r w:rsidR="00A86CF8" w:rsidRPr="00837F50">
        <w:rPr>
          <w:rFonts w:eastAsia="Times New Roman"/>
          <w:lang w:val="af-ZA" w:eastAsia="x-none"/>
        </w:rPr>
        <w:t>ớc năm 2016 đạt</w:t>
      </w:r>
      <w:r w:rsidR="00FA29A2">
        <w:rPr>
          <w:rFonts w:eastAsia="Times New Roman"/>
          <w:lang w:val="af-ZA" w:eastAsia="x-none"/>
        </w:rPr>
        <w:t xml:space="preserve"> </w:t>
      </w:r>
      <w:r w:rsidR="00A86CF8" w:rsidRPr="00837F50">
        <w:rPr>
          <w:rFonts w:eastAsia="Times New Roman"/>
          <w:lang w:val="af-ZA" w:eastAsia="x-none"/>
        </w:rPr>
        <w:t xml:space="preserve">188,156 tỷ đồng. Bên cạnh đó KCN cũng đã góp phần </w:t>
      </w:r>
      <w:r w:rsidR="008D7457" w:rsidRPr="00837F50">
        <w:rPr>
          <w:rFonts w:eastAsia="Times New Roman"/>
          <w:lang w:val="af-ZA" w:eastAsia="x-none"/>
        </w:rPr>
        <w:t xml:space="preserve">giải quyết việc làm </w:t>
      </w:r>
      <w:r w:rsidR="00A86CF8" w:rsidRPr="00837F50">
        <w:rPr>
          <w:rFonts w:eastAsia="Times New Roman"/>
          <w:lang w:val="af-ZA" w:eastAsia="x-none"/>
        </w:rPr>
        <w:t xml:space="preserve">cho </w:t>
      </w:r>
      <w:r w:rsidR="008D7457" w:rsidRPr="00837F50">
        <w:rPr>
          <w:rFonts w:eastAsia="Times New Roman"/>
          <w:lang w:val="af-ZA" w:eastAsia="x-none"/>
        </w:rPr>
        <w:t xml:space="preserve">khoảng hơn 47.049 lao động </w:t>
      </w:r>
      <w:r w:rsidR="00CA2E92" w:rsidRPr="00837F50">
        <w:rPr>
          <w:rFonts w:eastAsia="Times New Roman"/>
          <w:lang w:val="af-ZA" w:eastAsia="x-none"/>
        </w:rPr>
        <w:t xml:space="preserve">của địa phương và vùng lân cận </w:t>
      </w:r>
      <w:r w:rsidR="008D7457" w:rsidRPr="00837F50">
        <w:rPr>
          <w:rFonts w:eastAsia="Times New Roman"/>
          <w:lang w:val="af-ZA" w:eastAsia="x-none"/>
        </w:rPr>
        <w:t>(tron</w:t>
      </w:r>
      <w:r w:rsidR="00A86CF8" w:rsidRPr="00837F50">
        <w:rPr>
          <w:rFonts w:eastAsia="Times New Roman"/>
          <w:lang w:val="af-ZA" w:eastAsia="x-none"/>
        </w:rPr>
        <w:t>g đó lao động nữ</w:t>
      </w:r>
      <w:r w:rsidR="00CA2E92">
        <w:rPr>
          <w:rFonts w:eastAsia="Times New Roman"/>
          <w:lang w:val="af-ZA" w:eastAsia="x-none"/>
        </w:rPr>
        <w:t xml:space="preserve"> chiếm 67%</w:t>
      </w:r>
      <w:r w:rsidR="00A86CF8" w:rsidRPr="00837F50">
        <w:rPr>
          <w:rFonts w:eastAsia="Times New Roman"/>
          <w:lang w:val="af-ZA" w:eastAsia="x-none"/>
        </w:rPr>
        <w:t>)</w:t>
      </w:r>
      <w:r w:rsidR="008D7457" w:rsidRPr="00837F50">
        <w:rPr>
          <w:rFonts w:eastAsia="Times New Roman"/>
          <w:lang w:val="af-ZA" w:eastAsia="x-none"/>
        </w:rPr>
        <w:t>, nâng cao thu nhập với mức lương trung bình 7,0 triệu đồng/người/tháng</w:t>
      </w:r>
      <w:r w:rsidR="00E86500" w:rsidRPr="00837F50">
        <w:rPr>
          <w:rFonts w:eastAsia="Times New Roman"/>
          <w:lang w:val="af-ZA" w:eastAsia="x-none"/>
        </w:rPr>
        <w:t xml:space="preserve">. </w:t>
      </w:r>
      <w:r w:rsidR="00FA29A2">
        <w:rPr>
          <w:rFonts w:eastAsia="Times New Roman"/>
          <w:lang w:val="af-ZA" w:eastAsia="x-none"/>
        </w:rPr>
        <w:t xml:space="preserve">Bên cạnh đó, </w:t>
      </w:r>
      <w:r w:rsidR="008D7457" w:rsidRPr="00837F50">
        <w:rPr>
          <w:rFonts w:eastAsia="Times New Roman"/>
          <w:lang w:val="af-ZA" w:eastAsia="x-none"/>
        </w:rPr>
        <w:t xml:space="preserve">công tác bảo vệ môi trường tại </w:t>
      </w:r>
      <w:r w:rsidR="008D7457" w:rsidRPr="00837F50">
        <w:rPr>
          <w:rFonts w:eastAsia="Times New Roman"/>
          <w:lang w:eastAsia="x-none"/>
        </w:rPr>
        <w:t>KCN Bàu Xéo</w:t>
      </w:r>
      <w:r w:rsidR="008D7457" w:rsidRPr="00837F50">
        <w:rPr>
          <w:rFonts w:eastAsia="Times New Roman"/>
          <w:lang w:val="af-ZA" w:eastAsia="x-none"/>
        </w:rPr>
        <w:t xml:space="preserve"> luôn được quan tâm </w:t>
      </w:r>
      <w:r w:rsidR="00623CC5">
        <w:rPr>
          <w:rFonts w:eastAsia="Times New Roman"/>
          <w:lang w:val="af-ZA" w:eastAsia="x-none"/>
        </w:rPr>
        <w:t>với</w:t>
      </w:r>
      <w:r w:rsidR="008D7457" w:rsidRPr="00837F50">
        <w:rPr>
          <w:rFonts w:eastAsia="Times New Roman"/>
          <w:lang w:val="af-ZA" w:eastAsia="x-none"/>
        </w:rPr>
        <w:t xml:space="preserve"> việc </w:t>
      </w:r>
      <w:r w:rsidR="00623CC5">
        <w:rPr>
          <w:rFonts w:eastAsia="Times New Roman"/>
          <w:lang w:val="af-ZA" w:eastAsia="x-none"/>
        </w:rPr>
        <w:t xml:space="preserve">đầu tư </w:t>
      </w:r>
      <w:r w:rsidR="008D7457" w:rsidRPr="00837F50">
        <w:rPr>
          <w:rFonts w:eastAsia="Times New Roman"/>
          <w:lang w:val="af-ZA" w:eastAsia="x-none"/>
        </w:rPr>
        <w:t xml:space="preserve">xây dựng hệ thống thu gom và xử lý chất thải rắn, </w:t>
      </w:r>
      <w:r w:rsidR="000B6044">
        <w:rPr>
          <w:rFonts w:eastAsia="Times New Roman"/>
          <w:lang w:val="af-ZA" w:eastAsia="x-none"/>
        </w:rPr>
        <w:t>nước thải tập trung.</w:t>
      </w:r>
    </w:p>
    <w:p w14:paraId="7F4BEFE1" w14:textId="12D241BA" w:rsidR="0018758D" w:rsidRPr="00837F50" w:rsidRDefault="0018758D" w:rsidP="00670B73">
      <w:pPr>
        <w:autoSpaceDE w:val="0"/>
        <w:autoSpaceDN w:val="0"/>
        <w:adjustRightInd w:val="0"/>
        <w:spacing w:line="288" w:lineRule="auto"/>
        <w:ind w:firstLine="720"/>
        <w:jc w:val="both"/>
        <w:rPr>
          <w:i/>
        </w:rPr>
      </w:pPr>
      <w:r w:rsidRPr="00837F50">
        <w:rPr>
          <w:b/>
          <w:i/>
        </w:rPr>
        <w:t xml:space="preserve">Từ khóa: </w:t>
      </w:r>
      <w:r w:rsidR="00A86CF8" w:rsidRPr="00837F50">
        <w:rPr>
          <w:i/>
        </w:rPr>
        <w:t>Đồng Nai, hiệu quả, khu công nghiệp, sử dụng đất, Bàu Xéo.</w:t>
      </w:r>
    </w:p>
    <w:p w14:paraId="1F3E9775" w14:textId="77777777" w:rsidR="0018758D" w:rsidRPr="00837F50" w:rsidRDefault="0018758D" w:rsidP="00670B73">
      <w:pPr>
        <w:autoSpaceDE w:val="0"/>
        <w:autoSpaceDN w:val="0"/>
        <w:adjustRightInd w:val="0"/>
        <w:spacing w:line="288" w:lineRule="auto"/>
        <w:jc w:val="both"/>
        <w:rPr>
          <w:b/>
        </w:rPr>
      </w:pPr>
    </w:p>
    <w:p w14:paraId="3F451BC7" w14:textId="77777777" w:rsidR="0018758D" w:rsidRPr="00837F50" w:rsidRDefault="0018758D" w:rsidP="00670B73">
      <w:pPr>
        <w:spacing w:line="288" w:lineRule="auto"/>
        <w:rPr>
          <w:b/>
        </w:rPr>
      </w:pPr>
      <w:r w:rsidRPr="00837F50">
        <w:rPr>
          <w:b/>
        </w:rPr>
        <w:t>1. ĐẶT VẤN ĐỀ</w:t>
      </w:r>
    </w:p>
    <w:p w14:paraId="3A48A33D" w14:textId="431B2E0D" w:rsidR="003B0824" w:rsidRPr="00837F50" w:rsidRDefault="00770A86" w:rsidP="00670B73">
      <w:pPr>
        <w:pStyle w:val="NormalWeb"/>
        <w:shd w:val="clear" w:color="auto" w:fill="FFFFFF"/>
        <w:spacing w:before="0" w:beforeAutospacing="0" w:after="0" w:afterAutospacing="0" w:line="288" w:lineRule="auto"/>
        <w:ind w:firstLine="567"/>
        <w:jc w:val="both"/>
        <w:rPr>
          <w:rFonts w:eastAsia="Times New Roman"/>
          <w:color w:val="242424"/>
          <w:shd w:val="clear" w:color="auto" w:fill="FFFFFF"/>
        </w:rPr>
      </w:pPr>
      <w:r w:rsidRPr="00837F50">
        <w:t xml:space="preserve">Việc phát triển hình thành nên các khu công nghiệp, khu chế xuất, các cụm công nghiệp trên cả nước nói chung và tỉnh Đồng Nai nói riêng nhằm thu hút các doanh nghiệp trong và ngoài nước đến đầu tư là nguồn lực quan trọng trong tiến trình phát triển kinh tế, xã hội của đất nước. </w:t>
      </w:r>
      <w:r w:rsidR="003B0824" w:rsidRPr="00837F50">
        <w:t>Trong q</w:t>
      </w:r>
      <w:r w:rsidR="003B0824" w:rsidRPr="00837F50">
        <w:rPr>
          <w:color w:val="242424"/>
        </w:rPr>
        <w:t>uá trình CNH - HĐH đất nước hiện nay đòi hỏi phải dành quỹ đất để phát triển các KCN, thậm chí phải chuyển đổi một số đất nông nghiệp, kể cả là đất trồng lúa ở các vùng đồng bằng. Tuy nhiên, để đáp ứng yêu cầu phát triển bền vữ</w:t>
      </w:r>
      <w:r w:rsidR="00FA29A2">
        <w:rPr>
          <w:color w:val="242424"/>
        </w:rPr>
        <w:t>ng cần thiết</w:t>
      </w:r>
      <w:r w:rsidR="003B0824" w:rsidRPr="00837F50">
        <w:rPr>
          <w:color w:val="242424"/>
        </w:rPr>
        <w:t xml:space="preserve"> phải lập và tổ chức thực hiện quy hoạch, kế hoạch sử dụng đất KCN, đất nông nghiệp một cách có chọn lọc để vừa đảm bảo an ninh lương thực trước mắt và lâu dài. Bên cạnh đó </w:t>
      </w:r>
      <w:r w:rsidR="00526335" w:rsidRPr="00837F50">
        <w:rPr>
          <w:color w:val="242424"/>
        </w:rPr>
        <w:t xml:space="preserve">các nhà quản lý </w:t>
      </w:r>
      <w:r w:rsidR="003B0824" w:rsidRPr="00837F50">
        <w:rPr>
          <w:color w:val="242424"/>
        </w:rPr>
        <w:t>cần</w:t>
      </w:r>
      <w:r w:rsidR="00526335" w:rsidRPr="00837F50">
        <w:rPr>
          <w:color w:val="242424"/>
        </w:rPr>
        <w:t xml:space="preserve"> thường xuyên</w:t>
      </w:r>
      <w:r w:rsidR="003B0824" w:rsidRPr="00837F50">
        <w:rPr>
          <w:color w:val="242424"/>
        </w:rPr>
        <w:t xml:space="preserve"> rà soát, đánh giá </w:t>
      </w:r>
      <w:r w:rsidR="00FA29A2">
        <w:rPr>
          <w:color w:val="242424"/>
        </w:rPr>
        <w:t xml:space="preserve">đúng </w:t>
      </w:r>
      <w:r w:rsidR="003B0824" w:rsidRPr="00837F50">
        <w:rPr>
          <w:color w:val="242424"/>
        </w:rPr>
        <w:t xml:space="preserve">hiệu </w:t>
      </w:r>
      <w:r w:rsidR="002C29B3" w:rsidRPr="00837F50">
        <w:rPr>
          <w:rFonts w:eastAsia="Times New Roman"/>
          <w:color w:val="242424"/>
          <w:shd w:val="clear" w:color="auto" w:fill="FFFFFF"/>
        </w:rPr>
        <w:t>quả sử dụng đất tại các khu, cụm công nghiệp</w:t>
      </w:r>
      <w:r w:rsidR="003B0824" w:rsidRPr="00837F50">
        <w:rPr>
          <w:rFonts w:eastAsia="Times New Roman"/>
          <w:color w:val="242424"/>
          <w:shd w:val="clear" w:color="auto" w:fill="FFFFFF"/>
        </w:rPr>
        <w:t xml:space="preserve"> một cách cụ thể khi</w:t>
      </w:r>
      <w:r w:rsidR="002C29B3" w:rsidRPr="00837F50">
        <w:rPr>
          <w:rFonts w:eastAsia="Times New Roman"/>
          <w:color w:val="242424"/>
          <w:shd w:val="clear" w:color="auto" w:fill="FFFFFF"/>
        </w:rPr>
        <w:t xml:space="preserve"> </w:t>
      </w:r>
      <w:r w:rsidR="003B0824" w:rsidRPr="00837F50">
        <w:rPr>
          <w:rFonts w:eastAsia="Times New Roman"/>
          <w:color w:val="242424"/>
          <w:shd w:val="clear" w:color="auto" w:fill="FFFFFF"/>
        </w:rPr>
        <w:t xml:space="preserve">mà </w:t>
      </w:r>
      <w:r w:rsidR="002C29B3" w:rsidRPr="00837F50">
        <w:rPr>
          <w:rFonts w:eastAsia="Times New Roman"/>
          <w:color w:val="242424"/>
          <w:shd w:val="clear" w:color="auto" w:fill="FFFFFF"/>
        </w:rPr>
        <w:t xml:space="preserve">việc quy hoạch và phát triển các KCN hiện </w:t>
      </w:r>
      <w:r w:rsidR="003B0824" w:rsidRPr="00837F50">
        <w:rPr>
          <w:rFonts w:eastAsia="Times New Roman"/>
          <w:color w:val="242424"/>
          <w:shd w:val="clear" w:color="auto" w:fill="FFFFFF"/>
        </w:rPr>
        <w:t xml:space="preserve">nay ở nước ta </w:t>
      </w:r>
      <w:r w:rsidR="002C29B3" w:rsidRPr="00837F50">
        <w:rPr>
          <w:rFonts w:eastAsia="Times New Roman"/>
          <w:color w:val="242424"/>
          <w:shd w:val="clear" w:color="auto" w:fill="FFFFFF"/>
        </w:rPr>
        <w:t>còn dàn trải. Ở nhiều địa phương, tỷ lệ lấp đầy KCN còn thấp (dưới 60%) nhưng vẫn đề nghị mở thêm nhiều khu, cụm công nghiệp khác, trong khi quỹ đất dành cho các nhu cầu văn hóa, y tế, giáo dục… chưa được quan tâm và đáp ứng đúng mức</w:t>
      </w:r>
      <w:r w:rsidR="00F50326">
        <w:rPr>
          <w:rFonts w:eastAsia="Times New Roman"/>
          <w:color w:val="242424"/>
          <w:shd w:val="clear" w:color="auto" w:fill="FFFFFF"/>
        </w:rPr>
        <w:t xml:space="preserve"> [</w:t>
      </w:r>
      <w:r w:rsidR="004858F3">
        <w:rPr>
          <w:rFonts w:eastAsia="Times New Roman"/>
          <w:color w:val="242424"/>
          <w:shd w:val="clear" w:color="auto" w:fill="FFFFFF"/>
        </w:rPr>
        <w:t>3,</w:t>
      </w:r>
      <w:r w:rsidR="00FA29A2">
        <w:rPr>
          <w:rFonts w:eastAsia="Times New Roman"/>
          <w:color w:val="242424"/>
          <w:shd w:val="clear" w:color="auto" w:fill="FFFFFF"/>
        </w:rPr>
        <w:t xml:space="preserve"> </w:t>
      </w:r>
      <w:r w:rsidR="00F50326">
        <w:rPr>
          <w:rFonts w:eastAsia="Times New Roman"/>
          <w:color w:val="242424"/>
          <w:shd w:val="clear" w:color="auto" w:fill="FFFFFF"/>
        </w:rPr>
        <w:t>5]</w:t>
      </w:r>
      <w:r w:rsidR="002C29B3" w:rsidRPr="00837F50">
        <w:rPr>
          <w:rFonts w:eastAsia="Times New Roman"/>
          <w:color w:val="242424"/>
          <w:shd w:val="clear" w:color="auto" w:fill="FFFFFF"/>
        </w:rPr>
        <w:t xml:space="preserve">. </w:t>
      </w:r>
    </w:p>
    <w:p w14:paraId="0CB7452B" w14:textId="5F9926FE" w:rsidR="00526335" w:rsidRPr="00837F50" w:rsidRDefault="00770A86" w:rsidP="00670B73">
      <w:pPr>
        <w:pStyle w:val="NormalWeb"/>
        <w:shd w:val="clear" w:color="auto" w:fill="FFFFFF"/>
        <w:spacing w:before="0" w:beforeAutospacing="0" w:after="0" w:afterAutospacing="0" w:line="288" w:lineRule="auto"/>
        <w:ind w:firstLine="567"/>
        <w:jc w:val="both"/>
      </w:pPr>
      <w:r w:rsidRPr="00837F50">
        <w:t>Trảng Bom là một huyện của tỉnh Đồng Nai nằm trong vùng quy hoạch phát triển kinh tế trọng điểm khu vực phía Nam gồm Thành phố Hồ Chí Minh, tỉnh Bà Rịa Vũng Tàu, Bình Dương và Đồng Nai, có nhiều điều kiện thuận lợi để phát triển khu công nghiệp. Hiện nay, Trảng Bom có 4 khu công nghiệp với tổng diện tích là 1.999,8 ha, gồm khu công nghiệp Sông Mây 474 ha; khu công nghiệp Hố Nai 496,94 ha; khu công nghiệp Bàu Xéo 499,86 ha; khu công nghiệp Giang Điền 529 ha. Nhằm tạo điều kiện cho các khu công nghiệp đi vào hoạt động hiệu quả, huyện đã thực hiện các chính sách ưu đãi để thu hút vốn đầu tư, chú trọng phát triển các ngành công nghiệp sử dụng nguyên liệu tại chỗ, ít gây ô nhiễm môi trường</w:t>
      </w:r>
      <w:r w:rsidR="00526335" w:rsidRPr="00837F50">
        <w:t xml:space="preserve">. </w:t>
      </w:r>
      <w:r w:rsidRPr="00837F50">
        <w:t>Đồng thời, khuyến khích các thành phần kinh tế đầu tư vào lĩnh vực ngành nghề nông thôn. Từ đó, đã đem lại nguồn thu ngân sách lớn cho địa phương và giải quyết việc làm cho hàng ngàn người lao động đến từ mọi miền của đất nước</w:t>
      </w:r>
      <w:r w:rsidR="00F50326">
        <w:t xml:space="preserve"> [1]</w:t>
      </w:r>
      <w:r w:rsidRPr="00837F50">
        <w:t xml:space="preserve">. </w:t>
      </w:r>
    </w:p>
    <w:p w14:paraId="4537BC16" w14:textId="55B49972" w:rsidR="003B0824" w:rsidRPr="00F50326" w:rsidRDefault="00526335" w:rsidP="00670B73">
      <w:pPr>
        <w:pStyle w:val="NormalWeb"/>
        <w:shd w:val="clear" w:color="auto" w:fill="FFFFFF"/>
        <w:spacing w:before="0" w:beforeAutospacing="0" w:after="0" w:afterAutospacing="0" w:line="288" w:lineRule="auto"/>
        <w:ind w:firstLine="567"/>
        <w:jc w:val="both"/>
        <w:rPr>
          <w:rFonts w:eastAsia="Times New Roman"/>
          <w:color w:val="231F20"/>
          <w:shd w:val="clear" w:color="auto" w:fill="FFFFFF"/>
        </w:rPr>
      </w:pPr>
      <w:r w:rsidRPr="00837F50">
        <w:rPr>
          <w:rFonts w:eastAsia="Times New Roman"/>
          <w:color w:val="231F20"/>
          <w:shd w:val="clear" w:color="auto" w:fill="FFFFFF"/>
        </w:rPr>
        <w:lastRenderedPageBreak/>
        <w:t>Hiện nay, mặc dù tỷ lệ lấp đầy các KCN trong cả nước nói chung và tỉnh Đồng Nai nói riêng đều tăng đều hằng năm. Tuy nhiên, tốc độ thu hút vốn đầu tư vào các KCN đang có xu hướng giảm sút, chưa thật sự tương xứng với quy mô và quỹ đất công nghiệp hiện tại của các KCN. Trên địa bàn tỉnh, không hiếm KCN sau nhiều năm đi vào hoạt động có tỷ lệ lấp đầy chưa đến 50% hay tình trạng quy hoạch treo các KCN trong nhiều năm, gây lãng phí tài nguyên đất đai, trong khi người dân lại thiếu đất canh tác. Ðầu tư tràn lan các KCN bất chấp khả năng thu hút đầu tư thực tế của địa phương càng khiến việc sử dụng đất tại các KCN không phát huy được hiệu quả</w:t>
      </w:r>
      <w:r w:rsidR="00F50326">
        <w:rPr>
          <w:rFonts w:eastAsia="Times New Roman"/>
          <w:color w:val="231F20"/>
          <w:shd w:val="clear" w:color="auto" w:fill="FFFFFF"/>
        </w:rPr>
        <w:t xml:space="preserve"> [2</w:t>
      </w:r>
      <w:r w:rsidR="004858F3">
        <w:rPr>
          <w:rFonts w:eastAsia="Times New Roman"/>
          <w:color w:val="231F20"/>
          <w:shd w:val="clear" w:color="auto" w:fill="FFFFFF"/>
        </w:rPr>
        <w:t>,</w:t>
      </w:r>
      <w:r w:rsidR="00FA29A2">
        <w:rPr>
          <w:rFonts w:eastAsia="Times New Roman"/>
          <w:color w:val="231F20"/>
          <w:shd w:val="clear" w:color="auto" w:fill="FFFFFF"/>
        </w:rPr>
        <w:t xml:space="preserve"> </w:t>
      </w:r>
      <w:r w:rsidR="004858F3">
        <w:rPr>
          <w:rFonts w:eastAsia="Times New Roman"/>
          <w:color w:val="231F20"/>
          <w:shd w:val="clear" w:color="auto" w:fill="FFFFFF"/>
        </w:rPr>
        <w:t>4</w:t>
      </w:r>
      <w:r w:rsidR="00F50326">
        <w:rPr>
          <w:rFonts w:eastAsia="Times New Roman"/>
          <w:color w:val="231F20"/>
          <w:shd w:val="clear" w:color="auto" w:fill="FFFFFF"/>
        </w:rPr>
        <w:t>].</w:t>
      </w:r>
      <w:r w:rsidRPr="00837F50">
        <w:rPr>
          <w:rFonts w:eastAsia="Times New Roman"/>
          <w:color w:val="231F20"/>
          <w:shd w:val="clear" w:color="auto" w:fill="FFFFFF"/>
        </w:rPr>
        <w:t xml:space="preserve"> </w:t>
      </w:r>
      <w:r w:rsidRPr="00837F50">
        <w:t>Vì vậy bài báo này nhằm mục đích sẽ trình bày kết quả đánh giá hiệu quả sử dụng đất của</w:t>
      </w:r>
      <w:r w:rsidR="00837F50" w:rsidRPr="00837F50">
        <w:t xml:space="preserve"> một trong bốn KCN chính thuộc huyện Trảng Bom đó là</w:t>
      </w:r>
      <w:r w:rsidRPr="00837F50">
        <w:t xml:space="preserve"> KCN Bàu Xéo </w:t>
      </w:r>
      <w:r w:rsidR="00837F50" w:rsidRPr="00837F50">
        <w:t xml:space="preserve">trong giai đoạn 2011 – 2016, qua đó </w:t>
      </w:r>
      <w:r w:rsidRPr="00837F50">
        <w:t xml:space="preserve">giúp người đọc có thể </w:t>
      </w:r>
      <w:r w:rsidR="00FA29A2">
        <w:t xml:space="preserve">nhìn nhận được </w:t>
      </w:r>
      <w:r w:rsidRPr="00837F50">
        <w:t>những hiệu quả mà KCN đã và đang làm được trong thời gian qua</w:t>
      </w:r>
      <w:r w:rsidR="00837F50" w:rsidRPr="00837F50">
        <w:t xml:space="preserve"> đối với địa phương</w:t>
      </w:r>
      <w:r w:rsidRPr="00837F50">
        <w:t xml:space="preserve">. </w:t>
      </w:r>
    </w:p>
    <w:p w14:paraId="146FD37C" w14:textId="77777777" w:rsidR="007D00B4" w:rsidRPr="00837F50" w:rsidRDefault="0018758D" w:rsidP="00670B73">
      <w:pPr>
        <w:autoSpaceDE w:val="0"/>
        <w:autoSpaceDN w:val="0"/>
        <w:adjustRightInd w:val="0"/>
        <w:spacing w:line="288" w:lineRule="auto"/>
        <w:jc w:val="both"/>
        <w:rPr>
          <w:b/>
        </w:rPr>
      </w:pPr>
      <w:r w:rsidRPr="00837F50">
        <w:rPr>
          <w:b/>
        </w:rPr>
        <w:t>2. PHƯƠNG PHÁP NGHIÊN CỨU</w:t>
      </w:r>
      <w:bookmarkStart w:id="0" w:name="_Toc488048956"/>
    </w:p>
    <w:p w14:paraId="4FD8B35B" w14:textId="248F4798" w:rsidR="00087C52" w:rsidRDefault="00087C52" w:rsidP="00670B73">
      <w:pPr>
        <w:autoSpaceDE w:val="0"/>
        <w:autoSpaceDN w:val="0"/>
        <w:adjustRightInd w:val="0"/>
        <w:spacing w:line="288" w:lineRule="auto"/>
        <w:jc w:val="both"/>
        <w:rPr>
          <w:b/>
          <w:i/>
          <w:lang w:val="vi-VN"/>
        </w:rPr>
      </w:pPr>
      <w:r w:rsidRPr="00087C52">
        <w:rPr>
          <w:b/>
          <w:i/>
          <w:lang w:val="vi-VN"/>
        </w:rPr>
        <w:t>2.1. Giới thiệu về KCN Bàu Xéo</w:t>
      </w:r>
    </w:p>
    <w:p w14:paraId="17A516C0" w14:textId="72B8FF0D" w:rsidR="00670B73" w:rsidRDefault="00670B73" w:rsidP="00670B73">
      <w:pPr>
        <w:spacing w:line="288" w:lineRule="auto"/>
        <w:ind w:firstLine="567"/>
        <w:jc w:val="both"/>
      </w:pPr>
      <w:r w:rsidRPr="00670B73">
        <w:t>KCN Bàu Xéo thuộc Huyện Trảng Bom, tỉnh Đồng Nai là một trong các KCN theo tuyến trải dọc QL1A về phía đông của thành phố Biên Hòa</w:t>
      </w:r>
      <w:r w:rsidR="00FA29A2">
        <w:t>,</w:t>
      </w:r>
      <w:r w:rsidRPr="00670B73">
        <w:t xml:space="preserve"> được thành lập theo Văn bản số 1944/TTg-CN ngày 24/11/2006 của Thủ tướng Chính phủ. Sự ra đời của KCN Bàu xéo </w:t>
      </w:r>
      <w:r w:rsidR="00FA29A2">
        <w:t xml:space="preserve">đã </w:t>
      </w:r>
      <w:r w:rsidRPr="00670B73">
        <w:t xml:space="preserve">góp phần xây dựng và phát triển công nghiệp của huyện Trảng Bom, tạo bước chuyển dịch cơ cấu kinh tế của huyện theo đúng định hướng tăng tỷ trọng ngành công nghiệp dịch vụ, giảm tỷ trọng ngành nông - lâm </w:t>
      </w:r>
      <w:r w:rsidR="00FA29A2">
        <w:t>–</w:t>
      </w:r>
      <w:r w:rsidRPr="00670B73">
        <w:t xml:space="preserve"> </w:t>
      </w:r>
      <w:r w:rsidR="00FA29A2">
        <w:t xml:space="preserve">thủy </w:t>
      </w:r>
      <w:r w:rsidRPr="00670B73">
        <w:t xml:space="preserve">sản, thu hút các nguồn vốn trong và ngoài nước cho đầu tư phát triển, đồng thời giải quyết việc làm cho người lao động trên địa bàn tỉnh với quy mô diện tích </w:t>
      </w:r>
      <w:r w:rsidR="00FA29A2">
        <w:t xml:space="preserve">đã được quy hoạch là </w:t>
      </w:r>
      <w:r w:rsidRPr="00670B73">
        <w:t>499,86</w:t>
      </w:r>
      <w:r>
        <w:t xml:space="preserve"> </w:t>
      </w:r>
      <w:r w:rsidRPr="00670B73">
        <w:t>ha.</w:t>
      </w:r>
      <w:r>
        <w:t xml:space="preserve"> </w:t>
      </w:r>
    </w:p>
    <w:p w14:paraId="69D85C68" w14:textId="58C97B0C" w:rsidR="00670B73" w:rsidRPr="00670B73" w:rsidRDefault="00670B73" w:rsidP="00670B73">
      <w:pPr>
        <w:spacing w:line="288" w:lineRule="auto"/>
        <w:ind w:firstLine="567"/>
        <w:jc w:val="both"/>
      </w:pPr>
      <w:r>
        <w:t xml:space="preserve">KCN </w:t>
      </w:r>
      <w:r w:rsidRPr="00670B73">
        <w:t xml:space="preserve">Bàu Xéo </w:t>
      </w:r>
      <w:r w:rsidR="00FA29A2">
        <w:t xml:space="preserve">hiện nay </w:t>
      </w:r>
      <w:r w:rsidRPr="00670B73">
        <w:t>chủ yếu tập trung phát triển các lại hình công nghiệp nhẹ, công nghiệp chế biến ít độc hại, ít sử dụng nướ</w:t>
      </w:r>
      <w:r w:rsidR="00FA29A2">
        <w:t xml:space="preserve">c, </w:t>
      </w:r>
      <w:r w:rsidRPr="00670B73">
        <w:t>được đầu tư xây dựng đủ các thành phần công năng có thể vận hành độc lập, ưu tiên các ngành công nghiệp có công nghệ hiện đại, các loại sản phẩm sản xuất ra đáp ứng nhu cầu sử dụng trong nước và xuất khẩu</w:t>
      </w:r>
      <w:r w:rsidR="00FA29A2">
        <w:t>.</w:t>
      </w:r>
    </w:p>
    <w:p w14:paraId="736FD6C5" w14:textId="7A496159" w:rsidR="00087C52" w:rsidRPr="00087C52" w:rsidRDefault="00087C52" w:rsidP="00670B73">
      <w:pPr>
        <w:autoSpaceDE w:val="0"/>
        <w:autoSpaceDN w:val="0"/>
        <w:adjustRightInd w:val="0"/>
        <w:spacing w:line="288" w:lineRule="auto"/>
        <w:jc w:val="both"/>
        <w:rPr>
          <w:b/>
          <w:i/>
          <w:lang w:val="vi-VN"/>
        </w:rPr>
      </w:pPr>
      <w:r w:rsidRPr="00087C52">
        <w:rPr>
          <w:b/>
          <w:i/>
          <w:lang w:val="vi-VN"/>
        </w:rPr>
        <w:t>2.2. Phương pháp nghiên cứu</w:t>
      </w:r>
    </w:p>
    <w:p w14:paraId="2110E63C" w14:textId="488D40AF" w:rsidR="007D00B4" w:rsidRPr="00837F50" w:rsidRDefault="007D00B4" w:rsidP="00670B73">
      <w:pPr>
        <w:autoSpaceDE w:val="0"/>
        <w:autoSpaceDN w:val="0"/>
        <w:adjustRightInd w:val="0"/>
        <w:spacing w:line="288" w:lineRule="auto"/>
        <w:jc w:val="both"/>
        <w:rPr>
          <w:i/>
          <w:lang w:val="vi-VN"/>
        </w:rPr>
      </w:pPr>
      <w:r w:rsidRPr="00837F50">
        <w:rPr>
          <w:i/>
          <w:lang w:val="vi-VN"/>
        </w:rPr>
        <w:t>2.</w:t>
      </w:r>
      <w:r w:rsidR="00087C52">
        <w:rPr>
          <w:i/>
          <w:lang w:val="vi-VN"/>
        </w:rPr>
        <w:t>2.</w:t>
      </w:r>
      <w:r w:rsidRPr="00837F50">
        <w:rPr>
          <w:i/>
          <w:lang w:val="vi-VN"/>
        </w:rPr>
        <w:t xml:space="preserve">1. Phương pháp thu thập số liệu, tài liệu </w:t>
      </w:r>
      <w:bookmarkEnd w:id="0"/>
    </w:p>
    <w:p w14:paraId="2468E2CF" w14:textId="18CD3D57" w:rsidR="002C29B3" w:rsidRPr="00837F50" w:rsidRDefault="00410AC8" w:rsidP="00B120BE">
      <w:pPr>
        <w:widowControl w:val="0"/>
        <w:autoSpaceDE w:val="0"/>
        <w:autoSpaceDN w:val="0"/>
        <w:adjustRightInd w:val="0"/>
        <w:spacing w:line="288" w:lineRule="auto"/>
        <w:ind w:right="61" w:firstLine="567"/>
        <w:jc w:val="both"/>
      </w:pPr>
      <w:bookmarkStart w:id="1" w:name="_Toc488048958"/>
      <w:r w:rsidRPr="00837F50">
        <w:rPr>
          <w:lang w:val="vi-VN"/>
        </w:rPr>
        <w:t>Nghiên cứu tiến hành t</w:t>
      </w:r>
      <w:r w:rsidRPr="00837F50">
        <w:t>hu thậ</w:t>
      </w:r>
      <w:r w:rsidR="002C29B3" w:rsidRPr="00837F50">
        <w:t xml:space="preserve">p thông tin </w:t>
      </w:r>
      <w:r w:rsidRPr="00837F50">
        <w:t>tại các sở, ban, ngành của tỉ</w:t>
      </w:r>
      <w:r w:rsidR="002C29B3" w:rsidRPr="00837F50">
        <w:t xml:space="preserve">nh gồm </w:t>
      </w:r>
      <w:r w:rsidRPr="00837F50">
        <w:t>Sở Kế hoạch và đầu tư, Sở Công thương, Sở Xây dựng, Ban Quả</w:t>
      </w:r>
      <w:r w:rsidR="002C29B3" w:rsidRPr="00837F50">
        <w:t xml:space="preserve">n lý các KCN về </w:t>
      </w:r>
      <w:r w:rsidRPr="00837F50">
        <w:t>tình hình phát triển công nghiệp của tỉnh; báo cáo thuyết minh quy hoạch được duyệt, tổng giá trị sản xuất của KCN, tỷ lệ đóng góp cho ngân sách địa phương, thực hiện nghĩa vụ</w:t>
      </w:r>
      <w:r w:rsidR="002C29B3" w:rsidRPr="00837F50">
        <w:t xml:space="preserve"> tài chính.</w:t>
      </w:r>
    </w:p>
    <w:p w14:paraId="7D5E7356" w14:textId="6DF754AF" w:rsidR="007D00B4" w:rsidRPr="00837F50" w:rsidRDefault="004767B2" w:rsidP="00670B73">
      <w:pPr>
        <w:widowControl w:val="0"/>
        <w:autoSpaceDE w:val="0"/>
        <w:autoSpaceDN w:val="0"/>
        <w:adjustRightInd w:val="0"/>
        <w:spacing w:line="288" w:lineRule="auto"/>
        <w:ind w:right="61"/>
        <w:jc w:val="both"/>
      </w:pPr>
      <w:r w:rsidRPr="00837F50">
        <w:rPr>
          <w:i/>
        </w:rPr>
        <w:t>2.2</w:t>
      </w:r>
      <w:r w:rsidR="00087C52">
        <w:rPr>
          <w:i/>
        </w:rPr>
        <w:t>.2</w:t>
      </w:r>
      <w:r w:rsidR="007D00B4" w:rsidRPr="00837F50">
        <w:rPr>
          <w:i/>
        </w:rPr>
        <w:t>. Phương pháp xử lý số liệu</w:t>
      </w:r>
      <w:bookmarkEnd w:id="1"/>
    </w:p>
    <w:p w14:paraId="12C6CEA5" w14:textId="56B7FAF3" w:rsidR="004767B2" w:rsidRPr="00837F50" w:rsidRDefault="007D00B4" w:rsidP="00B120BE">
      <w:pPr>
        <w:widowControl w:val="0"/>
        <w:spacing w:line="288" w:lineRule="auto"/>
        <w:ind w:firstLine="567"/>
        <w:jc w:val="both"/>
        <w:rPr>
          <w:bCs/>
          <w:iCs/>
          <w:lang w:val="nb-NO"/>
        </w:rPr>
      </w:pPr>
      <w:r w:rsidRPr="00837F50">
        <w:rPr>
          <w:bCs/>
          <w:iCs/>
          <w:lang w:val="nb-NO"/>
        </w:rPr>
        <w:t xml:space="preserve">Trên cơ sở các tài liệu, số liệu thu thập </w:t>
      </w:r>
      <w:r w:rsidR="001B0040" w:rsidRPr="00837F50">
        <w:rPr>
          <w:bCs/>
          <w:iCs/>
          <w:lang w:val="nb-NO"/>
        </w:rPr>
        <w:t>từ</w:t>
      </w:r>
      <w:r w:rsidRPr="00837F50">
        <w:rPr>
          <w:bCs/>
          <w:iCs/>
          <w:lang w:val="nb-NO"/>
        </w:rPr>
        <w:t xml:space="preserve"> kết quả điều tra, phỏng vấn, tiến hành lựa chọ</w:t>
      </w:r>
      <w:r w:rsidR="00DF6701" w:rsidRPr="00837F50">
        <w:rPr>
          <w:bCs/>
          <w:iCs/>
          <w:lang w:val="nb-NO"/>
        </w:rPr>
        <w:t>n, phân tích</w:t>
      </w:r>
      <w:r w:rsidRPr="00837F50">
        <w:rPr>
          <w:bCs/>
          <w:iCs/>
          <w:lang w:val="nb-NO"/>
        </w:rPr>
        <w:t xml:space="preserve">, tổng hợp những thông tin liên quan </w:t>
      </w:r>
      <w:r w:rsidR="001B0040" w:rsidRPr="00837F50">
        <w:rPr>
          <w:bCs/>
          <w:iCs/>
          <w:lang w:val="nb-NO"/>
        </w:rPr>
        <w:t>để t</w:t>
      </w:r>
      <w:r w:rsidRPr="00837F50">
        <w:rPr>
          <w:bCs/>
          <w:iCs/>
          <w:lang w:val="nb-NO"/>
        </w:rPr>
        <w:t xml:space="preserve">hống kê và xử lý số liệu theo </w:t>
      </w:r>
      <w:r w:rsidR="001B0040" w:rsidRPr="00837F50">
        <w:rPr>
          <w:bCs/>
          <w:iCs/>
          <w:lang w:val="nb-NO"/>
        </w:rPr>
        <w:t>các nội dung nghiên cứu trên</w:t>
      </w:r>
      <w:r w:rsidRPr="00837F50">
        <w:rPr>
          <w:bCs/>
          <w:iCs/>
          <w:lang w:val="nb-NO"/>
        </w:rPr>
        <w:t xml:space="preserve"> phần mềm Excel.</w:t>
      </w:r>
    </w:p>
    <w:p w14:paraId="0FA9D677" w14:textId="3CACA7B7" w:rsidR="004767B2" w:rsidRPr="00087C52" w:rsidRDefault="004767B2" w:rsidP="00670B73">
      <w:pPr>
        <w:widowControl w:val="0"/>
        <w:spacing w:line="288" w:lineRule="auto"/>
        <w:jc w:val="both"/>
        <w:rPr>
          <w:bCs/>
          <w:i/>
          <w:iCs/>
          <w:lang w:val="nb-NO"/>
        </w:rPr>
      </w:pPr>
      <w:r w:rsidRPr="00087C52">
        <w:rPr>
          <w:bCs/>
          <w:i/>
          <w:iCs/>
          <w:lang w:val="nb-NO"/>
        </w:rPr>
        <w:t>2.</w:t>
      </w:r>
      <w:r w:rsidR="00087C52" w:rsidRPr="00087C52">
        <w:rPr>
          <w:bCs/>
          <w:i/>
          <w:iCs/>
          <w:lang w:val="nb-NO"/>
        </w:rPr>
        <w:t>2.</w:t>
      </w:r>
      <w:r w:rsidRPr="00087C52">
        <w:rPr>
          <w:bCs/>
          <w:i/>
          <w:iCs/>
          <w:lang w:val="nb-NO"/>
        </w:rPr>
        <w:t>3. Các chỉ tiêu đánh giá hiệu quả sử dụng đất</w:t>
      </w:r>
      <w:r w:rsidR="00FA29A2">
        <w:rPr>
          <w:bCs/>
          <w:i/>
          <w:iCs/>
          <w:lang w:val="nb-NO"/>
        </w:rPr>
        <w:t xml:space="preserve"> KCN</w:t>
      </w:r>
    </w:p>
    <w:p w14:paraId="2264C61C" w14:textId="46AAFCB5" w:rsidR="004767B2" w:rsidRPr="00837F50" w:rsidRDefault="00087C52" w:rsidP="00B120BE">
      <w:pPr>
        <w:widowControl w:val="0"/>
        <w:spacing w:line="288" w:lineRule="auto"/>
        <w:ind w:firstLine="567"/>
        <w:jc w:val="both"/>
      </w:pPr>
      <w:r>
        <w:rPr>
          <w:bCs/>
          <w:i/>
          <w:iCs/>
          <w:lang w:val="nb-NO"/>
        </w:rPr>
        <w:t>-</w:t>
      </w:r>
      <w:r w:rsidR="00410AC8" w:rsidRPr="00837F50">
        <w:rPr>
          <w:bCs/>
          <w:i/>
          <w:iCs/>
          <w:lang w:val="nb-NO"/>
        </w:rPr>
        <w:t xml:space="preserve"> Hiệu quả </w:t>
      </w:r>
      <w:r w:rsidR="004767B2" w:rsidRPr="00837F50">
        <w:rPr>
          <w:bCs/>
          <w:i/>
          <w:iCs/>
          <w:lang w:val="nb-NO"/>
        </w:rPr>
        <w:t xml:space="preserve"> kinh tế</w:t>
      </w:r>
      <w:r>
        <w:rPr>
          <w:bCs/>
          <w:i/>
          <w:iCs/>
          <w:lang w:val="nb-NO"/>
        </w:rPr>
        <w:t xml:space="preserve">: </w:t>
      </w:r>
      <w:r w:rsidR="004767B2" w:rsidRPr="00837F50">
        <w:t>Để đánh giá hiệu quả kinh tế việc sử dụng đất của KCN, nghiên cứu đã tiến hành đánh giá dựa trên các chỉ tiêu gồm</w:t>
      </w:r>
      <w:r w:rsidR="00FA29A2">
        <w:t>:</w:t>
      </w:r>
      <w:r w:rsidR="004767B2" w:rsidRPr="00837F50">
        <w:t xml:space="preserve"> tỷ lệ lấp đầy, tình hình thu hút nguồn vốn đầu tư vào phát triển các doanh nghiệp trong KCN, giá trị sản xuất kinh doanh (doanh thu</w:t>
      </w:r>
      <w:r w:rsidR="004767B2" w:rsidRPr="00837F50">
        <w:rPr>
          <w:b/>
          <w:i/>
        </w:rPr>
        <w:t xml:space="preserve"> </w:t>
      </w:r>
      <w:r w:rsidR="004767B2" w:rsidRPr="00837F50">
        <w:t xml:space="preserve">của các doanh nghiệp), </w:t>
      </w:r>
      <w:r w:rsidR="004767B2" w:rsidRPr="00837F50">
        <w:rPr>
          <w:rFonts w:eastAsia="Times New Roman"/>
          <w:bCs/>
          <w:lang w:val="af-ZA"/>
        </w:rPr>
        <w:t>lợi nhuận của dự án trên đơn vị diện tích</w:t>
      </w:r>
      <w:r w:rsidR="004767B2" w:rsidRPr="00837F50">
        <w:t xml:space="preserve"> và đóng góp của các doanh nghiệp trong KCN cho địa phương.</w:t>
      </w:r>
    </w:p>
    <w:p w14:paraId="1D906F19" w14:textId="5C469563" w:rsidR="004767B2" w:rsidRPr="00837F50" w:rsidRDefault="00087C52" w:rsidP="00670B73">
      <w:pPr>
        <w:widowControl w:val="0"/>
        <w:spacing w:line="288" w:lineRule="auto"/>
        <w:ind w:firstLine="539"/>
        <w:jc w:val="both"/>
        <w:rPr>
          <w:lang w:val="af-ZA"/>
        </w:rPr>
      </w:pPr>
      <w:r>
        <w:rPr>
          <w:bCs/>
          <w:i/>
          <w:iCs/>
          <w:lang w:val="nb-NO"/>
        </w:rPr>
        <w:t>-</w:t>
      </w:r>
      <w:r w:rsidR="004767B2" w:rsidRPr="00837F50">
        <w:rPr>
          <w:bCs/>
          <w:i/>
          <w:iCs/>
          <w:lang w:val="nb-NO"/>
        </w:rPr>
        <w:t xml:space="preserve"> </w:t>
      </w:r>
      <w:r w:rsidR="00410AC8" w:rsidRPr="00837F50">
        <w:rPr>
          <w:bCs/>
          <w:i/>
          <w:iCs/>
          <w:lang w:val="nb-NO"/>
        </w:rPr>
        <w:t xml:space="preserve">Hiệu quả </w:t>
      </w:r>
      <w:r w:rsidR="004767B2" w:rsidRPr="00837F50">
        <w:rPr>
          <w:bCs/>
          <w:i/>
          <w:iCs/>
          <w:lang w:val="nb-NO"/>
        </w:rPr>
        <w:t>xã hội</w:t>
      </w:r>
      <w:r>
        <w:rPr>
          <w:bCs/>
          <w:i/>
          <w:iCs/>
          <w:lang w:val="nb-NO"/>
        </w:rPr>
        <w:t xml:space="preserve">: </w:t>
      </w:r>
      <w:r w:rsidR="004767B2" w:rsidRPr="00837F50">
        <w:rPr>
          <w:lang w:val="af-ZA"/>
        </w:rPr>
        <w:t xml:space="preserve">Một trong những chỉ tiêu quan trọng để đánh giá hiệu quả xã hội là hiệu quả sử dụng lao động. Qua thu thập số liệu lao động dựa trên báo cáo của các doanh nghiệp hằng năm và báo cáo của Ban quản lý KCN Bàu Xéo, nghiên cứu đã tiến hành đánh giá hiệu </w:t>
      </w:r>
      <w:r w:rsidR="004767B2" w:rsidRPr="00837F50">
        <w:rPr>
          <w:lang w:val="af-ZA"/>
        </w:rPr>
        <w:lastRenderedPageBreak/>
        <w:t>quả sử dụng lao động trên các chỉ tiêu giải quyết việc làm và cơ cấu đào tạo lao động nghề của KCN</w:t>
      </w:r>
      <w:r w:rsidR="002C29B3" w:rsidRPr="00837F50">
        <w:rPr>
          <w:lang w:val="af-ZA"/>
        </w:rPr>
        <w:t xml:space="preserve"> Bàu Xéo.</w:t>
      </w:r>
    </w:p>
    <w:p w14:paraId="52555F9C" w14:textId="28AD94CE" w:rsidR="00410AC8" w:rsidRPr="00837F50" w:rsidRDefault="00087C52" w:rsidP="00670B73">
      <w:pPr>
        <w:widowControl w:val="0"/>
        <w:spacing w:line="288" w:lineRule="auto"/>
        <w:ind w:firstLine="539"/>
        <w:jc w:val="both"/>
        <w:rPr>
          <w:rFonts w:eastAsia="Calibri"/>
          <w:lang w:val="af-ZA"/>
        </w:rPr>
      </w:pPr>
      <w:r>
        <w:rPr>
          <w:bCs/>
          <w:i/>
          <w:iCs/>
          <w:lang w:val="nb-NO"/>
        </w:rPr>
        <w:t>-</w:t>
      </w:r>
      <w:r w:rsidR="00410AC8" w:rsidRPr="00837F50">
        <w:rPr>
          <w:bCs/>
          <w:i/>
          <w:iCs/>
          <w:lang w:val="nb-NO"/>
        </w:rPr>
        <w:t xml:space="preserve"> Hiệu quả</w:t>
      </w:r>
      <w:r w:rsidR="004767B2" w:rsidRPr="00837F50">
        <w:rPr>
          <w:bCs/>
          <w:i/>
          <w:iCs/>
          <w:lang w:val="nb-NO"/>
        </w:rPr>
        <w:t xml:space="preserve"> môi trường</w:t>
      </w:r>
      <w:r>
        <w:rPr>
          <w:bCs/>
          <w:i/>
          <w:iCs/>
          <w:lang w:val="nb-NO"/>
        </w:rPr>
        <w:t xml:space="preserve">: </w:t>
      </w:r>
      <w:r w:rsidR="00410AC8" w:rsidRPr="00837F50">
        <w:rPr>
          <w:rFonts w:eastAsia="Calibri"/>
          <w:lang w:val="af-ZA"/>
        </w:rPr>
        <w:t>Vấn đề môi trường luôn được xem là một trong những vấn vấn đề nhức nhối và được quan tâm hiện nay tại nhiều KCN. Vì vậy để đánh giá hiệu quả môi trường tại KCN Bàu Xéo, nghiên cứu đã tiến hành đánh giá dựa trên các tiêu chí như công tác thu gom và xử lý chất thải rắn, chất thải nguy hại; công tác thu gom và xử lý nước thải</w:t>
      </w:r>
      <w:r w:rsidR="00837F50">
        <w:rPr>
          <w:rFonts w:eastAsia="Calibri"/>
          <w:lang w:val="af-ZA"/>
        </w:rPr>
        <w:t xml:space="preserve">, công tác thu gom và xử lý khí thái cũng như </w:t>
      </w:r>
      <w:r w:rsidR="00410AC8" w:rsidRPr="00837F50">
        <w:rPr>
          <w:rFonts w:eastAsia="Calibri"/>
          <w:lang w:val="af-ZA"/>
        </w:rPr>
        <w:t>các công trình bảo vệ môi trườ</w:t>
      </w:r>
      <w:r w:rsidR="002C29B3" w:rsidRPr="00837F50">
        <w:rPr>
          <w:rFonts w:eastAsia="Calibri"/>
          <w:lang w:val="af-ZA"/>
        </w:rPr>
        <w:t>ng khác</w:t>
      </w:r>
      <w:r w:rsidR="00410AC8" w:rsidRPr="00837F50">
        <w:rPr>
          <w:rFonts w:eastAsia="Calibri"/>
          <w:lang w:val="af-ZA"/>
        </w:rPr>
        <w:t>.</w:t>
      </w:r>
    </w:p>
    <w:p w14:paraId="43A83954" w14:textId="77777777" w:rsidR="0018758D" w:rsidRPr="00837F50" w:rsidRDefault="0018758D" w:rsidP="00670B73">
      <w:pPr>
        <w:autoSpaceDE w:val="0"/>
        <w:autoSpaceDN w:val="0"/>
        <w:adjustRightInd w:val="0"/>
        <w:spacing w:line="288" w:lineRule="auto"/>
        <w:jc w:val="both"/>
        <w:rPr>
          <w:b/>
        </w:rPr>
      </w:pPr>
      <w:r w:rsidRPr="00837F50">
        <w:rPr>
          <w:b/>
        </w:rPr>
        <w:t>3. KẾT QUẢ VÀ THẢO LUẬN</w:t>
      </w:r>
    </w:p>
    <w:p w14:paraId="08C96DC6" w14:textId="53873E7D" w:rsidR="00770A86" w:rsidRPr="00837F50" w:rsidRDefault="00601D6E" w:rsidP="00670B73">
      <w:pPr>
        <w:pStyle w:val="04"/>
        <w:spacing w:before="0" w:after="0"/>
        <w:rPr>
          <w:color w:val="auto"/>
          <w:sz w:val="24"/>
          <w:szCs w:val="24"/>
        </w:rPr>
      </w:pPr>
      <w:r w:rsidRPr="00837F50">
        <w:rPr>
          <w:color w:val="auto"/>
          <w:sz w:val="24"/>
          <w:szCs w:val="24"/>
        </w:rPr>
        <w:t>3.1. Đánh giá h</w:t>
      </w:r>
      <w:r w:rsidR="00770A86" w:rsidRPr="00837F50">
        <w:rPr>
          <w:color w:val="auto"/>
          <w:sz w:val="24"/>
          <w:szCs w:val="24"/>
        </w:rPr>
        <w:t>iệu quả về kinh tế</w:t>
      </w:r>
      <w:r w:rsidRPr="00837F50">
        <w:rPr>
          <w:color w:val="auto"/>
          <w:sz w:val="24"/>
          <w:szCs w:val="24"/>
        </w:rPr>
        <w:t xml:space="preserve"> của KCN Bàu Xéo</w:t>
      </w:r>
    </w:p>
    <w:p w14:paraId="33F80B69" w14:textId="327F1E43" w:rsidR="00770A86" w:rsidRPr="00837F50" w:rsidRDefault="004E5F30" w:rsidP="00670B73">
      <w:pPr>
        <w:pStyle w:val="04"/>
        <w:spacing w:before="0" w:after="0"/>
        <w:rPr>
          <w:b w:val="0"/>
          <w:color w:val="auto"/>
          <w:sz w:val="24"/>
          <w:szCs w:val="24"/>
        </w:rPr>
      </w:pPr>
      <w:r w:rsidRPr="00837F50">
        <w:rPr>
          <w:b w:val="0"/>
          <w:color w:val="auto"/>
          <w:sz w:val="24"/>
          <w:szCs w:val="24"/>
        </w:rPr>
        <w:t xml:space="preserve">a. </w:t>
      </w:r>
      <w:r w:rsidR="00770A86" w:rsidRPr="00837F50">
        <w:rPr>
          <w:b w:val="0"/>
          <w:color w:val="auto"/>
          <w:sz w:val="24"/>
          <w:szCs w:val="24"/>
        </w:rPr>
        <w:t>Tỷ lệ lấp đầy</w:t>
      </w:r>
      <w:r w:rsidR="00601D6E" w:rsidRPr="00837F50">
        <w:rPr>
          <w:b w:val="0"/>
          <w:color w:val="auto"/>
          <w:sz w:val="24"/>
          <w:szCs w:val="24"/>
        </w:rPr>
        <w:t xml:space="preserve"> của KCN</w:t>
      </w:r>
    </w:p>
    <w:p w14:paraId="209C4467" w14:textId="77F1A105" w:rsidR="00411A30" w:rsidRPr="00837F50" w:rsidRDefault="00411A30" w:rsidP="00670B73">
      <w:pPr>
        <w:spacing w:line="288" w:lineRule="auto"/>
        <w:ind w:firstLine="539"/>
        <w:jc w:val="both"/>
        <w:rPr>
          <w:rFonts w:eastAsia="Times New Roman"/>
          <w:lang w:eastAsia="x-none"/>
        </w:rPr>
      </w:pPr>
      <w:bookmarkStart w:id="2" w:name="_Toc515367778"/>
      <w:bookmarkStart w:id="3" w:name="_Toc515368737"/>
      <w:bookmarkStart w:id="4" w:name="_Toc516410843"/>
      <w:bookmarkStart w:id="5" w:name="_Toc519175692"/>
      <w:r w:rsidRPr="00837F50">
        <w:rPr>
          <w:rFonts w:eastAsia="Times New Roman"/>
          <w:lang w:eastAsia="x-none"/>
        </w:rPr>
        <w:t xml:space="preserve">Tổng diện tích </w:t>
      </w:r>
      <w:r w:rsidR="00FA29A2">
        <w:rPr>
          <w:rFonts w:eastAsia="Times New Roman"/>
          <w:lang w:eastAsia="x-none"/>
        </w:rPr>
        <w:t xml:space="preserve">đất </w:t>
      </w:r>
      <w:r w:rsidRPr="00837F50">
        <w:rPr>
          <w:rFonts w:eastAsia="Times New Roman"/>
          <w:lang w:eastAsia="x-none"/>
        </w:rPr>
        <w:t>của KCN Bàu Xéo là 499,86 ha, trong đó diện tích đất có thể cho thuê 353,88 ha. Kết quả thống kê tỷ lệ lấp đầy của KCN Bàu Xéo qua các năm được thể hiện ở Hình 1.</w:t>
      </w:r>
    </w:p>
    <w:p w14:paraId="5ECEC971" w14:textId="4A6413C0" w:rsidR="00770A86" w:rsidRPr="00837F50" w:rsidRDefault="00411A30" w:rsidP="00670B73">
      <w:pPr>
        <w:spacing w:line="288" w:lineRule="auto"/>
        <w:ind w:firstLine="539"/>
        <w:jc w:val="center"/>
        <w:rPr>
          <w:i/>
        </w:rPr>
      </w:pPr>
      <w:r w:rsidRPr="00837F50">
        <w:rPr>
          <w:i/>
          <w:noProof/>
        </w:rPr>
        <w:drawing>
          <wp:inline distT="0" distB="0" distL="0" distR="0" wp14:anchorId="7C568F21" wp14:editId="591122C7">
            <wp:extent cx="4462243" cy="2716432"/>
            <wp:effectExtent l="0" t="0" r="825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E12EE8F" w14:textId="6FB9F63A" w:rsidR="00770A86" w:rsidRPr="00837F50" w:rsidRDefault="00411A30" w:rsidP="00670B73">
      <w:pPr>
        <w:pStyle w:val="03BAG"/>
        <w:spacing w:before="0" w:after="0"/>
        <w:rPr>
          <w:color w:val="auto"/>
          <w:sz w:val="24"/>
          <w:szCs w:val="24"/>
        </w:rPr>
      </w:pPr>
      <w:r w:rsidRPr="00837F50">
        <w:rPr>
          <w:color w:val="auto"/>
          <w:sz w:val="24"/>
          <w:szCs w:val="24"/>
        </w:rPr>
        <w:t>Hình 1</w:t>
      </w:r>
      <w:r w:rsidR="00770A86" w:rsidRPr="00837F50">
        <w:rPr>
          <w:color w:val="auto"/>
          <w:sz w:val="24"/>
          <w:szCs w:val="24"/>
          <w:lang w:val="en-US"/>
        </w:rPr>
        <w:t>.</w:t>
      </w:r>
      <w:r w:rsidR="00770A86" w:rsidRPr="00837F50">
        <w:rPr>
          <w:color w:val="auto"/>
          <w:sz w:val="24"/>
          <w:szCs w:val="24"/>
        </w:rPr>
        <w:t xml:space="preserve"> Tỷ lệ lấp đầy của KCN Bàu Xéo giai đoạn 2011-2016</w:t>
      </w:r>
      <w:bookmarkEnd w:id="2"/>
      <w:bookmarkEnd w:id="3"/>
      <w:bookmarkEnd w:id="4"/>
      <w:bookmarkEnd w:id="5"/>
    </w:p>
    <w:p w14:paraId="0960B022" w14:textId="226ED366"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2A8F4739" w14:textId="11643750" w:rsidR="00770A86" w:rsidRPr="00837F50" w:rsidRDefault="00770A86" w:rsidP="00FA29A2">
      <w:pPr>
        <w:spacing w:line="288" w:lineRule="auto"/>
        <w:ind w:firstLine="567"/>
        <w:jc w:val="both"/>
        <w:rPr>
          <w:rFonts w:eastAsia="Times New Roman"/>
          <w:lang w:eastAsia="x-none"/>
        </w:rPr>
      </w:pPr>
      <w:r w:rsidRPr="00837F50">
        <w:rPr>
          <w:rFonts w:eastAsia="Times New Roman"/>
          <w:lang w:eastAsia="x-none"/>
        </w:rPr>
        <w:t xml:space="preserve">Qua </w:t>
      </w:r>
      <w:r w:rsidR="00146322" w:rsidRPr="00837F50">
        <w:rPr>
          <w:rFonts w:eastAsia="Times New Roman"/>
          <w:lang w:eastAsia="x-none"/>
        </w:rPr>
        <w:t xml:space="preserve">Hình 1 có thể thấy </w:t>
      </w:r>
      <w:r w:rsidRPr="00837F50">
        <w:rPr>
          <w:rFonts w:eastAsia="Times New Roman"/>
          <w:lang w:eastAsia="x-none"/>
        </w:rPr>
        <w:t xml:space="preserve">KCN Bàu Xéo </w:t>
      </w:r>
      <w:r w:rsidR="00837F50" w:rsidRPr="00837F50">
        <w:rPr>
          <w:rFonts w:eastAsia="Times New Roman"/>
          <w:lang w:eastAsia="x-none"/>
        </w:rPr>
        <w:t xml:space="preserve">trong thời gian qua, </w:t>
      </w:r>
      <w:r w:rsidR="00146322" w:rsidRPr="00837F50">
        <w:rPr>
          <w:rFonts w:eastAsia="Times New Roman"/>
          <w:lang w:eastAsia="x-none"/>
        </w:rPr>
        <w:t xml:space="preserve">chỉ riêng giai đoạn 2011-2012, tỷ lệ lấp đầy của KCN không có sự thay đổi nhưng từ các năm tiếp theo </w:t>
      </w:r>
      <w:r w:rsidRPr="00837F50">
        <w:rPr>
          <w:rFonts w:eastAsia="Times New Roman"/>
          <w:lang w:eastAsia="x-none"/>
        </w:rPr>
        <w:t xml:space="preserve">đến </w:t>
      </w:r>
      <w:r w:rsidR="00146322" w:rsidRPr="00837F50">
        <w:rPr>
          <w:rFonts w:eastAsia="Times New Roman"/>
          <w:lang w:eastAsia="x-none"/>
        </w:rPr>
        <w:t xml:space="preserve">năm </w:t>
      </w:r>
      <w:r w:rsidRPr="00837F50">
        <w:rPr>
          <w:rFonts w:eastAsia="Times New Roman"/>
          <w:lang w:eastAsia="x-none"/>
        </w:rPr>
        <w:t xml:space="preserve">2016 tỷ lệ lấp đầy </w:t>
      </w:r>
      <w:r w:rsidR="00146322" w:rsidRPr="00837F50">
        <w:rPr>
          <w:rFonts w:eastAsia="Times New Roman"/>
          <w:lang w:eastAsia="x-none"/>
        </w:rPr>
        <w:t xml:space="preserve">đã </w:t>
      </w:r>
      <w:r w:rsidRPr="00837F50">
        <w:rPr>
          <w:rFonts w:eastAsia="Times New Roman"/>
          <w:lang w:eastAsia="x-none"/>
        </w:rPr>
        <w:t>tă</w:t>
      </w:r>
      <w:r w:rsidR="00837F50" w:rsidRPr="00837F50">
        <w:rPr>
          <w:rFonts w:eastAsia="Times New Roman"/>
          <w:lang w:eastAsia="x-none"/>
        </w:rPr>
        <w:t>ng dần theo từng năm hoạt động</w:t>
      </w:r>
      <w:r w:rsidR="00146322" w:rsidRPr="00837F50">
        <w:rPr>
          <w:rFonts w:eastAsia="Times New Roman"/>
          <w:lang w:eastAsia="x-none"/>
        </w:rPr>
        <w:t xml:space="preserve"> và hiện tại đạt tỷ lệ </w:t>
      </w:r>
      <w:r w:rsidR="00FA29A2">
        <w:rPr>
          <w:rFonts w:eastAsia="Times New Roman"/>
          <w:lang w:eastAsia="x-none"/>
        </w:rPr>
        <w:t>là</w:t>
      </w:r>
      <w:r w:rsidR="00146322" w:rsidRPr="00837F50">
        <w:rPr>
          <w:rFonts w:eastAsia="Times New Roman"/>
          <w:lang w:eastAsia="x-none"/>
        </w:rPr>
        <w:t xml:space="preserve"> 90,95%. </w:t>
      </w:r>
      <w:r w:rsidRPr="00837F50">
        <w:rPr>
          <w:rFonts w:eastAsia="Times New Roman"/>
          <w:lang w:eastAsia="x-none"/>
        </w:rPr>
        <w:t xml:space="preserve">Nhìn chung, tỷ lệ lấp đầy của KCN </w:t>
      </w:r>
      <w:r w:rsidR="00837F50" w:rsidRPr="00837F50">
        <w:rPr>
          <w:rFonts w:eastAsia="Times New Roman"/>
          <w:lang w:eastAsia="x-none"/>
        </w:rPr>
        <w:t xml:space="preserve">Bàu Xéo </w:t>
      </w:r>
      <w:r w:rsidRPr="00837F50">
        <w:rPr>
          <w:rFonts w:eastAsia="Times New Roman"/>
          <w:lang w:eastAsia="x-none"/>
        </w:rPr>
        <w:t>so về quy mô và thời gian thành lập là khá cao so với các KCN trên địa bàn toàn tỉnh.</w:t>
      </w:r>
    </w:p>
    <w:p w14:paraId="55AC2368" w14:textId="67F9DC07" w:rsidR="00770A86" w:rsidRPr="00837F50" w:rsidRDefault="004E5F30" w:rsidP="00670B73">
      <w:pPr>
        <w:pStyle w:val="04"/>
        <w:spacing w:before="0" w:after="0"/>
        <w:rPr>
          <w:b w:val="0"/>
          <w:color w:val="auto"/>
          <w:sz w:val="24"/>
          <w:szCs w:val="24"/>
        </w:rPr>
      </w:pPr>
      <w:r w:rsidRPr="00837F50">
        <w:rPr>
          <w:b w:val="0"/>
          <w:color w:val="auto"/>
          <w:sz w:val="24"/>
          <w:szCs w:val="24"/>
        </w:rPr>
        <w:t>b</w:t>
      </w:r>
      <w:r w:rsidR="00770A86" w:rsidRPr="00837F50">
        <w:rPr>
          <w:b w:val="0"/>
          <w:color w:val="auto"/>
          <w:sz w:val="24"/>
          <w:szCs w:val="24"/>
        </w:rPr>
        <w:t xml:space="preserve">. </w:t>
      </w:r>
      <w:r w:rsidR="00146322" w:rsidRPr="00837F50">
        <w:rPr>
          <w:b w:val="0"/>
          <w:color w:val="auto"/>
          <w:sz w:val="24"/>
          <w:szCs w:val="24"/>
        </w:rPr>
        <w:t>Khả năng t</w:t>
      </w:r>
      <w:r w:rsidR="00770A86" w:rsidRPr="00837F50">
        <w:rPr>
          <w:b w:val="0"/>
          <w:color w:val="auto"/>
          <w:sz w:val="24"/>
          <w:szCs w:val="24"/>
        </w:rPr>
        <w:t>hu hút đầu tư</w:t>
      </w:r>
      <w:r w:rsidR="00146322" w:rsidRPr="00837F50">
        <w:rPr>
          <w:b w:val="0"/>
          <w:color w:val="auto"/>
          <w:sz w:val="24"/>
          <w:szCs w:val="24"/>
        </w:rPr>
        <w:t xml:space="preserve"> của KCN</w:t>
      </w:r>
    </w:p>
    <w:p w14:paraId="479FC58F" w14:textId="77777777" w:rsidR="00B120BE" w:rsidRDefault="00146322" w:rsidP="00B120BE">
      <w:pPr>
        <w:spacing w:line="288" w:lineRule="auto"/>
        <w:ind w:firstLine="567"/>
        <w:jc w:val="both"/>
      </w:pPr>
      <w:bookmarkStart w:id="6" w:name="_Toc515368738"/>
      <w:bookmarkStart w:id="7" w:name="_Toc516410844"/>
      <w:bookmarkStart w:id="8" w:name="_Toc519175693"/>
      <w:r w:rsidRPr="00837F50">
        <w:t xml:space="preserve">Tính đến năm 2016, đã có 27 dự án được cấp GCN đầu tư vào KCN Bàu Xéo, trong đó có </w:t>
      </w:r>
      <w:r w:rsidR="004E5F30" w:rsidRPr="00837F50">
        <w:t xml:space="preserve">8 dự án có vốn đầu tư trong nước và 19 dự án có vốn đầu tư nước ngoài với tổng vốn đầu tư lên đến 940,485 triệu USD. Như vậy với tổng diện tích đất quy hoạch của KCN Bàu xéo là 353,88 ha thì vốn đầu tư bình quân của KCN </w:t>
      </w:r>
      <w:r w:rsidR="00837F50" w:rsidRPr="00837F50">
        <w:t>đạt</w:t>
      </w:r>
      <w:r w:rsidR="004E5F30" w:rsidRPr="00837F50">
        <w:t xml:space="preserve"> 2,664 triệu USD/ha và vốn bình quân là 34,833 triệu USD cho một dự án.</w:t>
      </w:r>
      <w:bookmarkEnd w:id="6"/>
      <w:bookmarkEnd w:id="7"/>
      <w:bookmarkEnd w:id="8"/>
    </w:p>
    <w:p w14:paraId="1B71A5EF" w14:textId="1751FD4D" w:rsidR="00770A86" w:rsidRPr="00B120BE" w:rsidRDefault="004E5F30" w:rsidP="00B120BE">
      <w:pPr>
        <w:spacing w:line="288" w:lineRule="auto"/>
        <w:ind w:firstLine="567"/>
        <w:jc w:val="both"/>
      </w:pPr>
      <w:r w:rsidRPr="00837F50">
        <w:t xml:space="preserve">Qua điều tra </w:t>
      </w:r>
      <w:r w:rsidR="00770A86" w:rsidRPr="00837F50">
        <w:t>nghiên cứu cho thấy, giai đoạn vừa qua là giai đoạn khó khăn trong hoạt động sản xuất kinh doanh của các doanh nghiệp kinh doanh hạ tầng KCN nói chung do ảnh hưởng suy thoái kinh tế thế giới và biến động của thị trường tài chính toàn cầu ảnh hưởng đến việc thu hút các nhà đầu tư vào KCN. Tuy vậy, bằng nỗ lực của Công ty cổ phần Thống Nhấ</w:t>
      </w:r>
      <w:r w:rsidR="00B120BE">
        <w:t xml:space="preserve">t, KCN </w:t>
      </w:r>
      <w:r w:rsidR="00770A86" w:rsidRPr="00837F50">
        <w:t xml:space="preserve">vẫn đảm bảo tiến độ hoàn thiện cơ sở hạ tầng để phục vụ hoạt động sản xuất kinh doanh </w:t>
      </w:r>
      <w:r w:rsidR="00770A86" w:rsidRPr="00837F50">
        <w:lastRenderedPageBreak/>
        <w:t>cũng như phục vụ cho các doanh nghiệp đã đầu tư vào KCN Bàu Xéo như đã cam kết, tạo nên niềm tin và uy tín với khách hàng.</w:t>
      </w:r>
      <w:r w:rsidRPr="00837F50">
        <w:t xml:space="preserve"> </w:t>
      </w:r>
      <w:r w:rsidR="00770A86" w:rsidRPr="00837F50">
        <w:t>Với những bước đi cơ bản, vững chắc đồng thời với vị trí địa lý thuận lợi, KCN Bàu Xéo tiếp tục sẽ là lựa chọn của các nhà đầu tư với các dự án có vốn lớn và công nghệ cao.</w:t>
      </w:r>
    </w:p>
    <w:p w14:paraId="71F78BDA" w14:textId="7906934B" w:rsidR="00770A86" w:rsidRPr="00837F50" w:rsidRDefault="00770A86" w:rsidP="00670B73">
      <w:pPr>
        <w:pStyle w:val="doanvan"/>
        <w:spacing w:before="0" w:after="0"/>
        <w:ind w:firstLine="0"/>
        <w:rPr>
          <w:i/>
          <w:sz w:val="24"/>
          <w:szCs w:val="24"/>
          <w:lang w:val="en-US"/>
        </w:rPr>
      </w:pPr>
      <w:r w:rsidRPr="00837F50">
        <w:rPr>
          <w:i/>
          <w:sz w:val="24"/>
          <w:szCs w:val="24"/>
          <w:lang w:val="en-US"/>
        </w:rPr>
        <w:t xml:space="preserve">c. Giá trị sản xuất kinh doanh </w:t>
      </w:r>
      <w:r w:rsidR="004E5F30" w:rsidRPr="00837F50">
        <w:rPr>
          <w:i/>
          <w:sz w:val="24"/>
          <w:szCs w:val="24"/>
          <w:lang w:val="en-US"/>
        </w:rPr>
        <w:t xml:space="preserve">của KCN </w:t>
      </w:r>
      <w:r w:rsidRPr="00837F50">
        <w:rPr>
          <w:i/>
          <w:sz w:val="24"/>
          <w:szCs w:val="24"/>
          <w:lang w:val="en-US"/>
        </w:rPr>
        <w:t>(doanh thu)</w:t>
      </w:r>
    </w:p>
    <w:p w14:paraId="5F157259" w14:textId="2D7FBBB3" w:rsidR="00AF2EC3" w:rsidRPr="00837F50" w:rsidRDefault="002E5209" w:rsidP="00670B73">
      <w:pPr>
        <w:pStyle w:val="03BAG"/>
        <w:spacing w:before="0" w:after="0"/>
        <w:rPr>
          <w:color w:val="auto"/>
          <w:sz w:val="24"/>
          <w:szCs w:val="24"/>
        </w:rPr>
      </w:pPr>
      <w:bookmarkStart w:id="9" w:name="_Toc515368739"/>
      <w:bookmarkStart w:id="10" w:name="_Toc516410845"/>
      <w:bookmarkStart w:id="11" w:name="_Toc519175694"/>
      <w:r w:rsidRPr="00837F50">
        <w:rPr>
          <w:noProof/>
          <w:color w:val="auto"/>
          <w:sz w:val="24"/>
          <w:szCs w:val="24"/>
          <w:lang w:val="en-US"/>
        </w:rPr>
        <w:drawing>
          <wp:inline distT="0" distB="0" distL="0" distR="0" wp14:anchorId="18508910" wp14:editId="4533CBBA">
            <wp:extent cx="4966335" cy="2254673"/>
            <wp:effectExtent l="0" t="0" r="1206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771456" w14:textId="734E48F6" w:rsidR="00770A86" w:rsidRPr="00837F50" w:rsidRDefault="00707DDA" w:rsidP="00670B73">
      <w:pPr>
        <w:pStyle w:val="03BAG"/>
        <w:spacing w:before="0" w:after="0"/>
        <w:rPr>
          <w:sz w:val="24"/>
          <w:szCs w:val="24"/>
        </w:rPr>
      </w:pPr>
      <w:r w:rsidRPr="00837F50">
        <w:rPr>
          <w:sz w:val="24"/>
          <w:szCs w:val="24"/>
          <w:lang w:val="en-US"/>
        </w:rPr>
        <w:t>Hình 2</w:t>
      </w:r>
      <w:r w:rsidR="00770A86" w:rsidRPr="00837F50">
        <w:rPr>
          <w:sz w:val="24"/>
          <w:szCs w:val="24"/>
          <w:lang w:val="en-US"/>
        </w:rPr>
        <w:t>.</w:t>
      </w:r>
      <w:r w:rsidR="00770A86" w:rsidRPr="00837F50">
        <w:rPr>
          <w:sz w:val="24"/>
          <w:szCs w:val="24"/>
        </w:rPr>
        <w:t xml:space="preserve"> </w:t>
      </w:r>
      <w:r w:rsidRPr="00837F50">
        <w:rPr>
          <w:sz w:val="24"/>
          <w:szCs w:val="24"/>
        </w:rPr>
        <w:t xml:space="preserve">Hiệu quả </w:t>
      </w:r>
      <w:r w:rsidR="00770A86" w:rsidRPr="00837F50">
        <w:rPr>
          <w:sz w:val="24"/>
          <w:szCs w:val="24"/>
        </w:rPr>
        <w:t>sản xuất kinh doanh KCN Bàu Xéo đến năm 2016</w:t>
      </w:r>
      <w:bookmarkEnd w:id="9"/>
      <w:bookmarkEnd w:id="10"/>
      <w:bookmarkEnd w:id="11"/>
    </w:p>
    <w:p w14:paraId="3887C5AA" w14:textId="77777777"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5FA589B8" w14:textId="560B7B5C" w:rsidR="00770A86" w:rsidRPr="00837F50" w:rsidRDefault="00770A86" w:rsidP="00670B73">
      <w:pPr>
        <w:pStyle w:val="doanvan"/>
        <w:spacing w:before="0" w:after="0"/>
        <w:rPr>
          <w:sz w:val="24"/>
          <w:szCs w:val="24"/>
          <w:lang w:val="en-US"/>
        </w:rPr>
      </w:pPr>
      <w:r w:rsidRPr="00837F50">
        <w:rPr>
          <w:sz w:val="24"/>
          <w:szCs w:val="24"/>
          <w:lang w:val="en-US"/>
        </w:rPr>
        <w:t xml:space="preserve">Qua số liệu ở </w:t>
      </w:r>
      <w:r w:rsidR="00707DDA" w:rsidRPr="00837F50">
        <w:rPr>
          <w:sz w:val="24"/>
          <w:szCs w:val="24"/>
          <w:lang w:val="en-US"/>
        </w:rPr>
        <w:t xml:space="preserve">Hình 2 </w:t>
      </w:r>
      <w:r w:rsidRPr="00837F50">
        <w:rPr>
          <w:sz w:val="24"/>
          <w:szCs w:val="24"/>
          <w:lang w:val="en-US"/>
        </w:rPr>
        <w:t>cho thấy, KCN</w:t>
      </w:r>
      <w:r w:rsidRPr="00837F50">
        <w:rPr>
          <w:sz w:val="24"/>
          <w:szCs w:val="24"/>
        </w:rPr>
        <w:t xml:space="preserve"> </w:t>
      </w:r>
      <w:r w:rsidRPr="00837F50">
        <w:rPr>
          <w:sz w:val="24"/>
          <w:szCs w:val="24"/>
          <w:lang w:val="en-US"/>
        </w:rPr>
        <w:t>Bàu Xéo</w:t>
      </w:r>
      <w:r w:rsidRPr="00837F50">
        <w:rPr>
          <w:sz w:val="24"/>
          <w:szCs w:val="24"/>
        </w:rPr>
        <w:t xml:space="preserve"> </w:t>
      </w:r>
      <w:r w:rsidR="00707DDA" w:rsidRPr="00837F50">
        <w:rPr>
          <w:sz w:val="24"/>
          <w:szCs w:val="24"/>
        </w:rPr>
        <w:t xml:space="preserve">trong giai đoạn 2011 – 2016 đã </w:t>
      </w:r>
      <w:r w:rsidRPr="00837F50">
        <w:rPr>
          <w:sz w:val="24"/>
          <w:szCs w:val="24"/>
        </w:rPr>
        <w:t>hoạt động hiệu quả</w:t>
      </w:r>
      <w:r w:rsidR="00707DDA" w:rsidRPr="00837F50">
        <w:rPr>
          <w:sz w:val="24"/>
          <w:szCs w:val="24"/>
        </w:rPr>
        <w:t xml:space="preserve">, </w:t>
      </w:r>
      <w:r w:rsidRPr="00837F50">
        <w:rPr>
          <w:sz w:val="24"/>
          <w:szCs w:val="24"/>
        </w:rPr>
        <w:t>thể hiện trực tiếp qua</w:t>
      </w:r>
      <w:r w:rsidRPr="00837F50">
        <w:rPr>
          <w:sz w:val="24"/>
          <w:szCs w:val="24"/>
          <w:lang w:val="en-US"/>
        </w:rPr>
        <w:t xml:space="preserve"> giá trị sản xuất kinh doanh</w:t>
      </w:r>
      <w:r w:rsidRPr="00837F50">
        <w:rPr>
          <w:sz w:val="24"/>
          <w:szCs w:val="24"/>
        </w:rPr>
        <w:t xml:space="preserve"> </w:t>
      </w:r>
      <w:r w:rsidRPr="00837F50">
        <w:rPr>
          <w:sz w:val="24"/>
          <w:szCs w:val="24"/>
          <w:lang w:val="en-US"/>
        </w:rPr>
        <w:t>(</w:t>
      </w:r>
      <w:r w:rsidRPr="00837F50">
        <w:rPr>
          <w:sz w:val="24"/>
          <w:szCs w:val="24"/>
        </w:rPr>
        <w:t>doanh thu</w:t>
      </w:r>
      <w:r w:rsidR="00707DDA" w:rsidRPr="00837F50">
        <w:rPr>
          <w:sz w:val="24"/>
          <w:szCs w:val="24"/>
          <w:lang w:val="en-US"/>
        </w:rPr>
        <w:t xml:space="preserve">) tăng lên hàng năm, </w:t>
      </w:r>
      <w:r w:rsidRPr="00837F50">
        <w:rPr>
          <w:sz w:val="24"/>
          <w:szCs w:val="24"/>
        </w:rPr>
        <w:t>từ hoạt động</w:t>
      </w:r>
      <w:r w:rsidRPr="00837F50">
        <w:rPr>
          <w:sz w:val="24"/>
          <w:szCs w:val="24"/>
          <w:lang w:val="en-US"/>
        </w:rPr>
        <w:t xml:space="preserve"> sản xuất</w:t>
      </w:r>
      <w:r w:rsidRPr="00837F50">
        <w:rPr>
          <w:sz w:val="24"/>
          <w:szCs w:val="24"/>
        </w:rPr>
        <w:t xml:space="preserve"> kinh doanh</w:t>
      </w:r>
      <w:r w:rsidRPr="00837F50">
        <w:rPr>
          <w:sz w:val="24"/>
          <w:szCs w:val="24"/>
          <w:lang w:val="en-US"/>
        </w:rPr>
        <w:t xml:space="preserve"> của </w:t>
      </w:r>
      <w:r w:rsidRPr="00837F50">
        <w:rPr>
          <w:sz w:val="24"/>
          <w:szCs w:val="24"/>
        </w:rPr>
        <w:t>khu công nghiệp</w:t>
      </w:r>
      <w:r w:rsidRPr="00837F50">
        <w:rPr>
          <w:sz w:val="24"/>
          <w:szCs w:val="24"/>
          <w:lang w:val="en-US"/>
        </w:rPr>
        <w:t xml:space="preserve"> là 15,161 tỷ đồng/năm/ha</w:t>
      </w:r>
      <w:r w:rsidR="00B120BE">
        <w:rPr>
          <w:sz w:val="24"/>
          <w:szCs w:val="24"/>
          <w:lang w:val="en-US"/>
        </w:rPr>
        <w:t xml:space="preserve"> (năm 2011)</w:t>
      </w:r>
      <w:r w:rsidRPr="00837F50">
        <w:rPr>
          <w:sz w:val="24"/>
          <w:szCs w:val="24"/>
          <w:lang w:val="en-US"/>
        </w:rPr>
        <w:t xml:space="preserve"> </w:t>
      </w:r>
      <w:r w:rsidR="00B120BE">
        <w:rPr>
          <w:sz w:val="24"/>
          <w:szCs w:val="24"/>
          <w:lang w:val="en-US"/>
        </w:rPr>
        <w:t xml:space="preserve">tăng </w:t>
      </w:r>
      <w:r w:rsidRPr="00837F50">
        <w:rPr>
          <w:sz w:val="24"/>
          <w:szCs w:val="24"/>
          <w:lang w:val="en-US"/>
        </w:rPr>
        <w:t>lên 48,509 tỷ đồ</w:t>
      </w:r>
      <w:r w:rsidR="00B120BE">
        <w:rPr>
          <w:sz w:val="24"/>
          <w:szCs w:val="24"/>
          <w:lang w:val="en-US"/>
        </w:rPr>
        <w:t>ng/năm/ha (</w:t>
      </w:r>
      <w:r w:rsidR="00707DDA" w:rsidRPr="00837F50">
        <w:rPr>
          <w:sz w:val="24"/>
          <w:szCs w:val="24"/>
          <w:lang w:val="en-US"/>
        </w:rPr>
        <w:t>năm 2016</w:t>
      </w:r>
      <w:r w:rsidR="00B120BE">
        <w:rPr>
          <w:sz w:val="24"/>
          <w:szCs w:val="24"/>
          <w:lang w:val="en-US"/>
        </w:rPr>
        <w:t>)</w:t>
      </w:r>
      <w:r w:rsidR="00707DDA" w:rsidRPr="00837F50">
        <w:rPr>
          <w:sz w:val="24"/>
          <w:szCs w:val="24"/>
          <w:lang w:val="en-US"/>
        </w:rPr>
        <w:t xml:space="preserve">. Nếu so sánh với doanh thu từ sản xuất nông nghiệp thì hiệu quả đã </w:t>
      </w:r>
      <w:r w:rsidRPr="00837F50">
        <w:rPr>
          <w:sz w:val="24"/>
          <w:szCs w:val="24"/>
          <w:lang w:val="en-US"/>
        </w:rPr>
        <w:t>tăng hàng trăm lầ</w:t>
      </w:r>
      <w:r w:rsidR="00707DDA" w:rsidRPr="00837F50">
        <w:rPr>
          <w:sz w:val="24"/>
          <w:szCs w:val="24"/>
          <w:lang w:val="en-US"/>
        </w:rPr>
        <w:t xml:space="preserve">n </w:t>
      </w:r>
      <w:r w:rsidRPr="00837F50">
        <w:rPr>
          <w:sz w:val="24"/>
          <w:szCs w:val="24"/>
          <w:lang w:val="en-US"/>
        </w:rPr>
        <w:t xml:space="preserve">trên một đơn vị diện tích năm 2016 của địa bàn huyện Trảng Bom. </w:t>
      </w:r>
    </w:p>
    <w:p w14:paraId="6CA13FC4" w14:textId="450CCC3E" w:rsidR="00770A86" w:rsidRPr="00837F50" w:rsidRDefault="00770A86" w:rsidP="00670B73">
      <w:pPr>
        <w:pStyle w:val="doanvan"/>
        <w:spacing w:before="0" w:after="0"/>
        <w:rPr>
          <w:sz w:val="24"/>
          <w:szCs w:val="24"/>
          <w:lang w:val="en-US"/>
        </w:rPr>
      </w:pPr>
      <w:r w:rsidRPr="00837F50">
        <w:rPr>
          <w:sz w:val="24"/>
          <w:szCs w:val="24"/>
          <w:lang w:val="en-US"/>
        </w:rPr>
        <w:t xml:space="preserve">Nhìn chung, </w:t>
      </w:r>
      <w:r w:rsidRPr="00837F50">
        <w:rPr>
          <w:sz w:val="24"/>
          <w:szCs w:val="24"/>
          <w:lang w:val="nl-NL"/>
        </w:rPr>
        <w:t>hiệu quả kinh tế tại khu công nghiệp Bàu Xéo đạt mức cao so với giá tri sản suất nông nghiệp trên một đơn vị diện tích</w:t>
      </w:r>
      <w:r w:rsidRPr="00837F50">
        <w:rPr>
          <w:sz w:val="24"/>
          <w:szCs w:val="24"/>
          <w:lang w:val="en-US"/>
        </w:rPr>
        <w:t xml:space="preserve"> </w:t>
      </w:r>
      <w:r w:rsidRPr="00837F50">
        <w:rPr>
          <w:sz w:val="24"/>
          <w:szCs w:val="24"/>
        </w:rPr>
        <w:t xml:space="preserve">đã đóng góp vào ngân sách Nhà nước, góp phần tăng GDP của tỉnh Đồng Nai nói riêng và cả nước nói chung và quan trọng hơn là đóng góp gián tiếp qua các loại thuế của các doanh nghiệp thuê đất trong </w:t>
      </w:r>
      <w:r w:rsidR="00A55E88">
        <w:rPr>
          <w:sz w:val="24"/>
          <w:szCs w:val="24"/>
        </w:rPr>
        <w:t xml:space="preserve">KCN </w:t>
      </w:r>
      <w:r w:rsidRPr="00837F50">
        <w:rPr>
          <w:sz w:val="24"/>
          <w:szCs w:val="24"/>
        </w:rPr>
        <w:t>để sản xuất</w:t>
      </w:r>
      <w:bookmarkStart w:id="12" w:name="_Toc483926092"/>
      <w:bookmarkStart w:id="13" w:name="_Toc483926319"/>
      <w:bookmarkStart w:id="14" w:name="_Toc483926548"/>
      <w:bookmarkStart w:id="15" w:name="_Toc483926681"/>
      <w:r w:rsidRPr="00837F50">
        <w:rPr>
          <w:sz w:val="24"/>
          <w:szCs w:val="24"/>
          <w:lang w:val="en-US"/>
        </w:rPr>
        <w:t>.</w:t>
      </w:r>
    </w:p>
    <w:p w14:paraId="5AF65039" w14:textId="77777777" w:rsidR="00770A86" w:rsidRPr="00837F50" w:rsidRDefault="00770A86" w:rsidP="00670B73">
      <w:pPr>
        <w:keepNext/>
        <w:spacing w:line="288" w:lineRule="auto"/>
        <w:outlineLvl w:val="2"/>
        <w:rPr>
          <w:rFonts w:eastAsia="Times New Roman"/>
          <w:bCs/>
          <w:i/>
          <w:lang w:val="af-ZA"/>
        </w:rPr>
      </w:pPr>
      <w:bookmarkStart w:id="16" w:name="_Toc393475157"/>
      <w:bookmarkStart w:id="17" w:name="_Toc393481992"/>
      <w:r w:rsidRPr="00837F50">
        <w:rPr>
          <w:rFonts w:eastAsia="Times New Roman"/>
          <w:bCs/>
          <w:i/>
          <w:lang w:val="af-ZA"/>
        </w:rPr>
        <w:t>d. Lợi nhuận của dự án trên đơn vị diện tích</w:t>
      </w:r>
      <w:bookmarkEnd w:id="16"/>
      <w:bookmarkEnd w:id="17"/>
    </w:p>
    <w:p w14:paraId="51A4514E" w14:textId="66A77075" w:rsidR="00707DDA" w:rsidRPr="00837F50" w:rsidRDefault="00770A86" w:rsidP="00A55E88">
      <w:pPr>
        <w:autoSpaceDE w:val="0"/>
        <w:autoSpaceDN w:val="0"/>
        <w:adjustRightInd w:val="0"/>
        <w:spacing w:line="288" w:lineRule="auto"/>
        <w:ind w:firstLine="567"/>
        <w:jc w:val="both"/>
        <w:rPr>
          <w:rFonts w:eastAsia="Times New Roman"/>
        </w:rPr>
      </w:pPr>
      <w:r w:rsidRPr="00837F50">
        <w:rPr>
          <w:rFonts w:eastAsia="Times New Roman"/>
          <w:lang w:val="af-ZA"/>
        </w:rPr>
        <w:t xml:space="preserve">Lợi nhuận là yếu tố quan trọng đến hiệu quả sử dụng đất và là vấn đề đáng quan tâm nhất. </w:t>
      </w:r>
      <w:r w:rsidRPr="00837F50">
        <w:rPr>
          <w:rFonts w:eastAsia="Times New Roman"/>
        </w:rPr>
        <w:t>Lợi nhuận tăng, trên cơ sở tăng doanh thu tăng và sử dụng hợp lý các yếu tố chi phí khác. Kết quả nghiên cứu cho thấy, hoạt động sả</w:t>
      </w:r>
      <w:r w:rsidR="00A55E88">
        <w:rPr>
          <w:rFonts w:eastAsia="Times New Roman"/>
        </w:rPr>
        <w:t xml:space="preserve">n xuất kinh doanh trên đơn vị diện tích (ha) </w:t>
      </w:r>
      <w:r w:rsidRPr="00837F50">
        <w:rPr>
          <w:rFonts w:eastAsia="Times New Roman"/>
        </w:rPr>
        <w:t xml:space="preserve">đất đối với </w:t>
      </w:r>
      <w:r w:rsidR="00A55E88">
        <w:rPr>
          <w:rFonts w:eastAsia="Times New Roman"/>
        </w:rPr>
        <w:t xml:space="preserve">KCN </w:t>
      </w:r>
      <w:r w:rsidRPr="00837F50">
        <w:rPr>
          <w:rFonts w:eastAsia="Times New Roman"/>
        </w:rPr>
        <w:t>Bàu Xéo đang trên đà phát triển, giá trị sản xuất kinh doanh hàng năm tăng trưởng mạnh, doanh thu tăng qua từng năm, lợi nhuận cao dẫn đến hiệu quả sử dụng đất cao.</w:t>
      </w:r>
    </w:p>
    <w:p w14:paraId="36707718" w14:textId="693406B7" w:rsidR="00770A86" w:rsidRPr="00837F50" w:rsidRDefault="00707DDA" w:rsidP="00670B73">
      <w:pPr>
        <w:autoSpaceDE w:val="0"/>
        <w:autoSpaceDN w:val="0"/>
        <w:adjustRightInd w:val="0"/>
        <w:spacing w:line="288" w:lineRule="auto"/>
        <w:jc w:val="center"/>
        <w:rPr>
          <w:rFonts w:eastAsia="Times New Roman"/>
        </w:rPr>
      </w:pPr>
      <w:r w:rsidRPr="00837F50">
        <w:rPr>
          <w:noProof/>
        </w:rPr>
        <w:lastRenderedPageBreak/>
        <w:drawing>
          <wp:inline distT="0" distB="0" distL="0" distR="0" wp14:anchorId="3BCDDE02" wp14:editId="4678BC3A">
            <wp:extent cx="4678468" cy="2462107"/>
            <wp:effectExtent l="0" t="0" r="2095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95AC23" w14:textId="6946C937" w:rsidR="00770A86" w:rsidRPr="00837F50" w:rsidRDefault="007F4A21" w:rsidP="00670B73">
      <w:pPr>
        <w:pStyle w:val="03BAG"/>
        <w:spacing w:before="0" w:after="0"/>
        <w:rPr>
          <w:b/>
          <w:color w:val="auto"/>
          <w:sz w:val="24"/>
          <w:szCs w:val="24"/>
          <w:lang w:val="af-ZA"/>
        </w:rPr>
      </w:pPr>
      <w:r w:rsidRPr="00837F50">
        <w:rPr>
          <w:color w:val="auto"/>
          <w:sz w:val="24"/>
          <w:szCs w:val="24"/>
        </w:rPr>
        <w:t>Hình 3. Hiệu quả sử dụng đất của các khu công nghiệp giai đoạn 2011-2016</w:t>
      </w:r>
    </w:p>
    <w:p w14:paraId="4BB6D430" w14:textId="77777777"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30E2D1AC" w14:textId="66454A18" w:rsidR="00770A86" w:rsidRPr="00837F50" w:rsidRDefault="00770A86" w:rsidP="00B120BE">
      <w:pPr>
        <w:spacing w:line="288" w:lineRule="auto"/>
        <w:ind w:firstLine="567"/>
        <w:jc w:val="both"/>
        <w:rPr>
          <w:rFonts w:eastAsia="Times New Roman"/>
        </w:rPr>
      </w:pPr>
      <w:r w:rsidRPr="00837F50">
        <w:rPr>
          <w:rFonts w:eastAsia="Times New Roman"/>
        </w:rPr>
        <w:t xml:space="preserve">Qua số liệu ở </w:t>
      </w:r>
      <w:r w:rsidR="00837F50">
        <w:rPr>
          <w:rFonts w:eastAsia="Times New Roman"/>
        </w:rPr>
        <w:t xml:space="preserve">Hình 3 </w:t>
      </w:r>
      <w:r w:rsidRPr="00837F50">
        <w:rPr>
          <w:rFonts w:eastAsia="Times New Roman"/>
        </w:rPr>
        <w:t>cho thấy, giai đoạn 2014-2016 KCN Bàu Xéo lợi nhuận sau thuế có sự gia tăng</w:t>
      </w:r>
      <w:r w:rsidR="00837F50">
        <w:rPr>
          <w:rFonts w:eastAsia="Times New Roman"/>
        </w:rPr>
        <w:t xml:space="preserve"> nhanh</w:t>
      </w:r>
      <w:r w:rsidRPr="00837F50">
        <w:rPr>
          <w:rFonts w:eastAsia="Times New Roman"/>
        </w:rPr>
        <w:t xml:space="preserve">, năm 2014 lợi nhuận sau thuế </w:t>
      </w:r>
      <w:r w:rsidR="007F4A21" w:rsidRPr="00837F50">
        <w:rPr>
          <w:rFonts w:eastAsia="Times New Roman"/>
        </w:rPr>
        <w:t xml:space="preserve">đạt </w:t>
      </w:r>
      <w:r w:rsidRPr="00837F50">
        <w:rPr>
          <w:rFonts w:eastAsia="Times New Roman"/>
        </w:rPr>
        <w:t xml:space="preserve">0,7629 tỷ đồng/ha đến năm 2016 đã tăng lên 1,3640 tỷ đồng/ha. Nguyên nhân chính là do công tác thực hiện quy </w:t>
      </w:r>
      <w:r w:rsidR="00A55E88">
        <w:rPr>
          <w:rFonts w:eastAsia="Times New Roman"/>
        </w:rPr>
        <w:t xml:space="preserve">hoạch KCN </w:t>
      </w:r>
      <w:r w:rsidRPr="00837F50">
        <w:rPr>
          <w:rFonts w:eastAsia="Times New Roman"/>
        </w:rPr>
        <w:t xml:space="preserve">tốt, có nhiều cơ chế chính sách thu hút đầu tư, lĩnh vực kêu gọi đầu tư hấp dẫn nên đã thu hút được các dự án đầu tư có quy mô lớn, thị trường tiêu thụ rộng. Mặt khác, các dự án đầu tư chủ yếu sử dụng nguyên liệu, lao động địa phương giá rẽ nên lợi nhuận tăng. </w:t>
      </w:r>
    </w:p>
    <w:p w14:paraId="5135962A" w14:textId="77777777" w:rsidR="00770A86" w:rsidRPr="00837F50" w:rsidRDefault="00770A86" w:rsidP="00670B73">
      <w:pPr>
        <w:keepNext/>
        <w:spacing w:line="288" w:lineRule="auto"/>
        <w:outlineLvl w:val="2"/>
        <w:rPr>
          <w:rFonts w:eastAsia="Times New Roman"/>
          <w:bCs/>
          <w:i/>
        </w:rPr>
      </w:pPr>
      <w:bookmarkStart w:id="18" w:name="_Toc393475158"/>
      <w:bookmarkStart w:id="19" w:name="_Toc393481993"/>
      <w:r w:rsidRPr="00837F50">
        <w:rPr>
          <w:rFonts w:eastAsia="Times New Roman"/>
          <w:bCs/>
          <w:i/>
          <w:lang w:val="af-ZA"/>
        </w:rPr>
        <w:t xml:space="preserve">e. </w:t>
      </w:r>
      <w:r w:rsidRPr="00837F50">
        <w:rPr>
          <w:rFonts w:eastAsia="Times New Roman"/>
          <w:bCs/>
          <w:i/>
        </w:rPr>
        <w:t xml:space="preserve"> Giá trị nộp ngân sách của các dự án trong khu công nghiệp</w:t>
      </w:r>
      <w:bookmarkEnd w:id="18"/>
      <w:bookmarkEnd w:id="19"/>
    </w:p>
    <w:p w14:paraId="7C699085" w14:textId="77777777" w:rsidR="00770A86" w:rsidRDefault="00770A86" w:rsidP="00B120BE">
      <w:pPr>
        <w:tabs>
          <w:tab w:val="right" w:leader="dot" w:pos="8520"/>
        </w:tabs>
        <w:spacing w:line="288" w:lineRule="auto"/>
        <w:ind w:firstLine="567"/>
        <w:jc w:val="both"/>
        <w:rPr>
          <w:rFonts w:eastAsia="Times New Roman"/>
          <w:lang w:val="nl-NL"/>
        </w:rPr>
      </w:pPr>
      <w:r w:rsidRPr="00837F50">
        <w:rPr>
          <w:rFonts w:eastAsia="Times New Roman"/>
          <w:lang w:val="nl-NL"/>
        </w:rPr>
        <w:t>Bên cạnh những chỉ tiêu như thu hút đầu tư, tỷ lệ lấp đầy thì giá trị nộp ngân sách của các dự án trong khu công nghiệp cũng là một trong những chỉ tiêu cần thiết khi đánh giá hiệu quả sử dụng đất của các khu công nghiệp. Nộp ngân sách của các dự án trong khu công nghiệp chủ yếu là các khoản thu từ thuế thu nhập doanh nghiệp, thuế giá trị gia tăng, thuế xuất nhập khẩu, thuế khai thác tài nguyên.</w:t>
      </w:r>
    </w:p>
    <w:p w14:paraId="179336CD" w14:textId="2D96BE8A" w:rsidR="00087C52" w:rsidRPr="00837F50" w:rsidRDefault="00087C52" w:rsidP="00670B73">
      <w:pPr>
        <w:tabs>
          <w:tab w:val="right" w:leader="dot" w:pos="8520"/>
        </w:tabs>
        <w:spacing w:line="288" w:lineRule="auto"/>
        <w:jc w:val="center"/>
        <w:rPr>
          <w:rFonts w:eastAsia="Times New Roman"/>
          <w:lang w:val="nl-NL"/>
        </w:rPr>
      </w:pPr>
      <w:r w:rsidRPr="00837F50">
        <w:rPr>
          <w:noProof/>
        </w:rPr>
        <w:drawing>
          <wp:inline distT="0" distB="0" distL="0" distR="0" wp14:anchorId="0B187852" wp14:editId="469D3112">
            <wp:extent cx="4339167" cy="2246207"/>
            <wp:effectExtent l="0" t="0" r="444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6B2A35" w14:textId="094C86A4" w:rsidR="007A00B6" w:rsidRPr="00837F50" w:rsidRDefault="007A00B6" w:rsidP="00670B73">
      <w:pPr>
        <w:pStyle w:val="03HIH"/>
        <w:spacing w:before="0" w:after="0"/>
        <w:rPr>
          <w:color w:val="auto"/>
          <w:sz w:val="24"/>
          <w:szCs w:val="24"/>
          <w:lang w:val="nl-NL"/>
        </w:rPr>
      </w:pPr>
      <w:bookmarkStart w:id="20" w:name="_Toc515367892"/>
      <w:bookmarkStart w:id="21" w:name="_Toc516410956"/>
      <w:r w:rsidRPr="00837F50">
        <w:rPr>
          <w:color w:val="auto"/>
          <w:sz w:val="24"/>
          <w:szCs w:val="24"/>
          <w:lang w:val="en-US"/>
        </w:rPr>
        <w:t>Hình</w:t>
      </w:r>
      <w:r w:rsidRPr="00837F50">
        <w:rPr>
          <w:color w:val="auto"/>
          <w:sz w:val="24"/>
          <w:szCs w:val="24"/>
        </w:rPr>
        <w:t xml:space="preserve"> 4</w:t>
      </w:r>
      <w:r w:rsidRPr="00837F50">
        <w:rPr>
          <w:color w:val="auto"/>
          <w:sz w:val="24"/>
          <w:szCs w:val="24"/>
          <w:lang w:val="en-US"/>
        </w:rPr>
        <w:t xml:space="preserve">. </w:t>
      </w:r>
      <w:r w:rsidRPr="00837F50">
        <w:rPr>
          <w:color w:val="auto"/>
          <w:sz w:val="24"/>
          <w:szCs w:val="24"/>
          <w:lang w:val="af-ZA"/>
        </w:rPr>
        <w:t xml:space="preserve">Giá trị nộp ngân sách KCN Bàu Xéo giai đoạn </w:t>
      </w:r>
      <w:r w:rsidRPr="00837F50">
        <w:rPr>
          <w:color w:val="auto"/>
          <w:sz w:val="24"/>
          <w:szCs w:val="24"/>
          <w:lang w:val="nl-NL"/>
        </w:rPr>
        <w:t>giai đoạ</w:t>
      </w:r>
      <w:r w:rsidR="006B5F23">
        <w:rPr>
          <w:color w:val="auto"/>
          <w:sz w:val="24"/>
          <w:szCs w:val="24"/>
          <w:lang w:val="nl-NL"/>
        </w:rPr>
        <w:t>n 2011</w:t>
      </w:r>
      <w:r w:rsidRPr="00837F50">
        <w:rPr>
          <w:color w:val="auto"/>
          <w:sz w:val="24"/>
          <w:szCs w:val="24"/>
          <w:lang w:val="nl-NL"/>
        </w:rPr>
        <w:t>-2016</w:t>
      </w:r>
      <w:bookmarkEnd w:id="20"/>
      <w:bookmarkEnd w:id="21"/>
    </w:p>
    <w:p w14:paraId="6D176161" w14:textId="77777777"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78DA2D48" w14:textId="3DFF1DAA" w:rsidR="00770A86" w:rsidRPr="00837F50" w:rsidRDefault="007A00B6" w:rsidP="00B120BE">
      <w:pPr>
        <w:tabs>
          <w:tab w:val="right" w:leader="dot" w:pos="8520"/>
        </w:tabs>
        <w:spacing w:line="288" w:lineRule="auto"/>
        <w:ind w:firstLine="567"/>
        <w:jc w:val="both"/>
        <w:rPr>
          <w:rFonts w:eastAsia="Times New Roman"/>
          <w:lang w:val="nl-NL"/>
        </w:rPr>
      </w:pPr>
      <w:r w:rsidRPr="00837F50">
        <w:rPr>
          <w:rFonts w:eastAsia="Times New Roman"/>
          <w:lang w:val="nl-NL"/>
        </w:rPr>
        <w:t>Qua Hình 4 có thể thấy, t</w:t>
      </w:r>
      <w:r w:rsidR="00770A86" w:rsidRPr="00837F50">
        <w:rPr>
          <w:rFonts w:eastAsia="Times New Roman"/>
          <w:lang w:val="nl-NL"/>
        </w:rPr>
        <w:t xml:space="preserve">rong giai đoạn từ năm 2011 đến năm 2016, khu công nghiệp Bàu </w:t>
      </w:r>
      <w:r w:rsidRPr="00837F50">
        <w:rPr>
          <w:rFonts w:eastAsia="Times New Roman"/>
          <w:lang w:val="nl-NL"/>
        </w:rPr>
        <w:t xml:space="preserve">Xéo đã đóng góp </w:t>
      </w:r>
      <w:r w:rsidR="00770A86" w:rsidRPr="00837F50">
        <w:rPr>
          <w:rFonts w:eastAsia="Times New Roman"/>
        </w:rPr>
        <w:t xml:space="preserve">417,5678 </w:t>
      </w:r>
      <w:r w:rsidR="00770A86" w:rsidRPr="00837F50">
        <w:rPr>
          <w:rFonts w:eastAsia="Times New Roman"/>
          <w:lang w:val="nl-NL"/>
        </w:rPr>
        <w:t>tỷ đồng v</w:t>
      </w:r>
      <w:r w:rsidRPr="00837F50">
        <w:rPr>
          <w:rFonts w:eastAsia="Times New Roman"/>
          <w:lang w:val="nl-NL"/>
        </w:rPr>
        <w:t>ào ngân sách của tỉnh Đồng Nai</w:t>
      </w:r>
      <w:r w:rsidR="00087C52">
        <w:rPr>
          <w:rFonts w:eastAsia="Times New Roman"/>
          <w:lang w:val="nl-NL"/>
        </w:rPr>
        <w:t>. Đ</w:t>
      </w:r>
      <w:r w:rsidRPr="00837F50">
        <w:rPr>
          <w:rFonts w:eastAsia="Times New Roman"/>
          <w:lang w:val="nl-NL"/>
        </w:rPr>
        <w:t xml:space="preserve">ồng thời </w:t>
      </w:r>
      <w:r w:rsidR="00087C52">
        <w:rPr>
          <w:rFonts w:eastAsia="Times New Roman"/>
          <w:lang w:val="nl-NL"/>
        </w:rPr>
        <w:t xml:space="preserve">có thể thấy </w:t>
      </w:r>
      <w:r w:rsidRPr="00837F50">
        <w:rPr>
          <w:rFonts w:eastAsia="Times New Roman"/>
          <w:lang w:val="nl-NL"/>
        </w:rPr>
        <w:t>giá trị nộp ngân sách qua các năm đều tăng</w:t>
      </w:r>
      <w:r w:rsidR="00087C52">
        <w:rPr>
          <w:rFonts w:eastAsia="Times New Roman"/>
          <w:lang w:val="nl-NL"/>
        </w:rPr>
        <w:t>, đặc biệt từ năm 2014 trở đi sự đóng góp vào ngân sách của KCN tăng lên rất nhiều so với giai đoạn trước đó</w:t>
      </w:r>
      <w:r w:rsidRPr="00837F50">
        <w:rPr>
          <w:rFonts w:eastAsia="Times New Roman"/>
          <w:lang w:val="nl-NL"/>
        </w:rPr>
        <w:t xml:space="preserve">. </w:t>
      </w:r>
      <w:r w:rsidR="00770A86" w:rsidRPr="00837F50">
        <w:rPr>
          <w:rFonts w:eastAsia="Times New Roman"/>
          <w:lang w:val="nl-NL"/>
        </w:rPr>
        <w:t>Điều này cho thấy rằng, việc hình thành khu công nghiệp Bàu Xéo</w:t>
      </w:r>
      <w:r w:rsidR="00087C52">
        <w:rPr>
          <w:rFonts w:eastAsia="Times New Roman"/>
          <w:lang w:val="nl-NL"/>
        </w:rPr>
        <w:t xml:space="preserve"> trong những năm gần đây</w:t>
      </w:r>
      <w:r w:rsidR="00770A86" w:rsidRPr="00837F50">
        <w:rPr>
          <w:rFonts w:eastAsia="Times New Roman"/>
          <w:lang w:val="nl-NL"/>
        </w:rPr>
        <w:t xml:space="preserve"> đã mang lại hiệu quả sử dụng </w:t>
      </w:r>
      <w:r w:rsidR="00770A86" w:rsidRPr="00837F50">
        <w:rPr>
          <w:rFonts w:eastAsia="Times New Roman"/>
          <w:lang w:val="nl-NL"/>
        </w:rPr>
        <w:lastRenderedPageBreak/>
        <w:t>đất tốt hơn so với thời gian trước khi mà các khu công nghiệp chưa được xây dựng</w:t>
      </w:r>
      <w:r w:rsidR="00087C52">
        <w:rPr>
          <w:rFonts w:eastAsia="Times New Roman"/>
          <w:lang w:val="nl-NL"/>
        </w:rPr>
        <w:t xml:space="preserve"> và tỷ lệ lấp đầy</w:t>
      </w:r>
      <w:r w:rsidR="00A55E88">
        <w:rPr>
          <w:rFonts w:eastAsia="Times New Roman"/>
          <w:lang w:val="nl-NL"/>
        </w:rPr>
        <w:t xml:space="preserve"> trong KCN</w:t>
      </w:r>
      <w:r w:rsidR="00087C52">
        <w:rPr>
          <w:rFonts w:eastAsia="Times New Roman"/>
          <w:lang w:val="nl-NL"/>
        </w:rPr>
        <w:t xml:space="preserve"> còn thấp.</w:t>
      </w:r>
    </w:p>
    <w:p w14:paraId="21DA1782" w14:textId="0BA964FA" w:rsidR="00770A86" w:rsidRPr="00837F50" w:rsidRDefault="007A00B6" w:rsidP="00670B73">
      <w:pPr>
        <w:pStyle w:val="04"/>
        <w:spacing w:before="0" w:after="0"/>
        <w:rPr>
          <w:color w:val="auto"/>
          <w:sz w:val="24"/>
          <w:szCs w:val="24"/>
        </w:rPr>
      </w:pPr>
      <w:r w:rsidRPr="00837F50">
        <w:rPr>
          <w:color w:val="auto"/>
          <w:sz w:val="24"/>
          <w:szCs w:val="24"/>
        </w:rPr>
        <w:t>3</w:t>
      </w:r>
      <w:r w:rsidR="00770A86" w:rsidRPr="00837F50">
        <w:rPr>
          <w:color w:val="auto"/>
          <w:sz w:val="24"/>
          <w:szCs w:val="24"/>
        </w:rPr>
        <w:t xml:space="preserve">.2. </w:t>
      </w:r>
      <w:r w:rsidRPr="00837F50">
        <w:rPr>
          <w:color w:val="auto"/>
          <w:sz w:val="24"/>
          <w:szCs w:val="24"/>
        </w:rPr>
        <w:t>Đánh giá h</w:t>
      </w:r>
      <w:r w:rsidR="00770A86" w:rsidRPr="00837F50">
        <w:rPr>
          <w:color w:val="auto"/>
          <w:sz w:val="24"/>
          <w:szCs w:val="24"/>
        </w:rPr>
        <w:t>iệu quả về xã hội</w:t>
      </w:r>
      <w:bookmarkEnd w:id="12"/>
      <w:bookmarkEnd w:id="13"/>
      <w:bookmarkEnd w:id="14"/>
      <w:bookmarkEnd w:id="15"/>
      <w:r w:rsidRPr="00837F50">
        <w:rPr>
          <w:color w:val="auto"/>
          <w:sz w:val="24"/>
          <w:szCs w:val="24"/>
        </w:rPr>
        <w:t xml:space="preserve"> của KCN Bàu Xéo</w:t>
      </w:r>
    </w:p>
    <w:p w14:paraId="7D6D89DA" w14:textId="7F21E1C3" w:rsidR="00770A86" w:rsidRPr="00837F50" w:rsidRDefault="00AF1754" w:rsidP="00B120BE">
      <w:pPr>
        <w:spacing w:line="288" w:lineRule="auto"/>
        <w:jc w:val="both"/>
        <w:rPr>
          <w:i/>
        </w:rPr>
      </w:pPr>
      <w:bookmarkStart w:id="22" w:name="_Toc483926093"/>
      <w:r w:rsidRPr="00837F50">
        <w:rPr>
          <w:i/>
        </w:rPr>
        <w:t xml:space="preserve">a. </w:t>
      </w:r>
      <w:r w:rsidR="00770A86" w:rsidRPr="00837F50">
        <w:rPr>
          <w:i/>
        </w:rPr>
        <w:t>Giải quyết việc làm</w:t>
      </w:r>
      <w:bookmarkEnd w:id="22"/>
    </w:p>
    <w:p w14:paraId="6E4E69F4" w14:textId="4004C59C" w:rsidR="00770A86" w:rsidRPr="00837F50" w:rsidRDefault="00770A86" w:rsidP="00670B73">
      <w:pPr>
        <w:pStyle w:val="doanvan"/>
        <w:spacing w:before="0" w:after="0"/>
        <w:rPr>
          <w:sz w:val="24"/>
          <w:szCs w:val="24"/>
          <w:lang w:val="de-AT"/>
        </w:rPr>
      </w:pPr>
      <w:r w:rsidRPr="00837F50">
        <w:rPr>
          <w:sz w:val="24"/>
          <w:szCs w:val="24"/>
          <w:lang w:val="de-AT"/>
        </w:rPr>
        <w:t xml:space="preserve">Lao động là yếu tố quan trọng nhất trong quá trình hoạt động kinh doanh, đồng thời lao động lại là một yếu tố khó sử dụng nhất trong các yếu tố như vốn, công nghệ…Do vậy, việc quản lý, sử dụng lao động ảnh hưởng tới năng suất lao động, chất lượng và hiệu quả hoạt động kinh doanh của các doanh nghiệp. </w:t>
      </w:r>
    </w:p>
    <w:p w14:paraId="3B0ABB56" w14:textId="7ECDAD7E" w:rsidR="007A00B6" w:rsidRPr="00837F50" w:rsidRDefault="007A00B6" w:rsidP="00670B73">
      <w:pPr>
        <w:pStyle w:val="doanvan"/>
        <w:spacing w:before="0" w:after="0"/>
        <w:ind w:firstLine="0"/>
        <w:jc w:val="center"/>
        <w:rPr>
          <w:b/>
          <w:sz w:val="24"/>
          <w:szCs w:val="24"/>
          <w:lang w:val="de-AT"/>
        </w:rPr>
      </w:pPr>
      <w:r w:rsidRPr="00837F50">
        <w:rPr>
          <w:noProof/>
          <w:sz w:val="24"/>
          <w:szCs w:val="24"/>
          <w:lang w:val="en-US"/>
        </w:rPr>
        <w:drawing>
          <wp:inline distT="0" distB="0" distL="0" distR="0" wp14:anchorId="3385B5E2" wp14:editId="21B32590">
            <wp:extent cx="4986655" cy="2482850"/>
            <wp:effectExtent l="0" t="0" r="17145" b="635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4395EC" w14:textId="22FEE581" w:rsidR="00770A86" w:rsidRPr="00837F50" w:rsidRDefault="00AF1754" w:rsidP="00670B73">
      <w:pPr>
        <w:pStyle w:val="03BAG"/>
        <w:spacing w:before="0" w:after="0"/>
        <w:rPr>
          <w:rStyle w:val="Strong"/>
          <w:color w:val="auto"/>
          <w:sz w:val="24"/>
          <w:szCs w:val="24"/>
        </w:rPr>
      </w:pPr>
      <w:bookmarkStart w:id="23" w:name="_Toc515368742"/>
      <w:bookmarkStart w:id="24" w:name="_Toc516410848"/>
      <w:bookmarkStart w:id="25" w:name="_Toc519175697"/>
      <w:r w:rsidRPr="00837F50">
        <w:rPr>
          <w:color w:val="auto"/>
          <w:sz w:val="24"/>
          <w:szCs w:val="24"/>
        </w:rPr>
        <w:t>Hình 5</w:t>
      </w:r>
      <w:r w:rsidR="00770A86" w:rsidRPr="00837F50">
        <w:rPr>
          <w:color w:val="auto"/>
          <w:sz w:val="24"/>
          <w:szCs w:val="24"/>
          <w:lang w:val="en-US"/>
        </w:rPr>
        <w:t>.</w:t>
      </w:r>
      <w:r w:rsidR="00770A86" w:rsidRPr="00837F50">
        <w:rPr>
          <w:color w:val="auto"/>
          <w:sz w:val="24"/>
          <w:szCs w:val="24"/>
        </w:rPr>
        <w:t xml:space="preserve"> Thông tin thu nhập của người lao động trong KCN Bàu Xéo năm 2016</w:t>
      </w:r>
      <w:bookmarkEnd w:id="23"/>
      <w:bookmarkEnd w:id="24"/>
      <w:bookmarkEnd w:id="25"/>
    </w:p>
    <w:p w14:paraId="5704C571" w14:textId="77777777"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4946F117" w14:textId="51DF0254" w:rsidR="00770A86" w:rsidRPr="00837F50" w:rsidRDefault="009D76D9" w:rsidP="00670B73">
      <w:pPr>
        <w:pStyle w:val="doanvan"/>
        <w:spacing w:before="0" w:after="0"/>
        <w:rPr>
          <w:sz w:val="24"/>
          <w:szCs w:val="24"/>
        </w:rPr>
      </w:pPr>
      <w:r w:rsidRPr="00837F50">
        <w:rPr>
          <w:rStyle w:val="Strong"/>
          <w:b w:val="0"/>
          <w:sz w:val="24"/>
          <w:szCs w:val="24"/>
          <w:lang w:val="en-US"/>
        </w:rPr>
        <w:t>Qua số liệu ở Hình 5 có thể thấy</w:t>
      </w:r>
      <w:r w:rsidR="00770A86" w:rsidRPr="00837F50">
        <w:rPr>
          <w:rStyle w:val="Strong"/>
          <w:b w:val="0"/>
          <w:sz w:val="24"/>
          <w:szCs w:val="24"/>
          <w:lang w:val="en-US"/>
        </w:rPr>
        <w:t xml:space="preserve">, </w:t>
      </w:r>
      <w:r w:rsidR="00AF1754" w:rsidRPr="00837F50">
        <w:rPr>
          <w:rStyle w:val="Strong"/>
          <w:b w:val="0"/>
          <w:sz w:val="24"/>
          <w:szCs w:val="24"/>
          <w:lang w:val="en-US"/>
        </w:rPr>
        <w:t>tính đến năm 2016 KCN Bàu Xéo đã giải quyết được 47.049 việc làm cho người dân trong đó lao động nữ chiếm đến hơn 67%. V</w:t>
      </w:r>
      <w:r w:rsidR="00770A86" w:rsidRPr="00837F50">
        <w:rPr>
          <w:rStyle w:val="Strong"/>
          <w:b w:val="0"/>
          <w:sz w:val="24"/>
          <w:szCs w:val="24"/>
          <w:lang w:val="en-US"/>
        </w:rPr>
        <w:t xml:space="preserve">ề mức lương </w:t>
      </w:r>
      <w:r w:rsidR="00770A86" w:rsidRPr="00837F50">
        <w:rPr>
          <w:rStyle w:val="Strong"/>
          <w:b w:val="0"/>
          <w:sz w:val="24"/>
          <w:szCs w:val="24"/>
        </w:rPr>
        <w:t xml:space="preserve">lao </w:t>
      </w:r>
      <w:r w:rsidR="00AF1754" w:rsidRPr="00837F50">
        <w:rPr>
          <w:rStyle w:val="Strong"/>
          <w:b w:val="0"/>
          <w:sz w:val="24"/>
          <w:szCs w:val="24"/>
        </w:rPr>
        <w:t>bình quân trong KCN,</w:t>
      </w:r>
      <w:r w:rsidR="00770A86" w:rsidRPr="00837F50">
        <w:rPr>
          <w:rStyle w:val="Strong"/>
          <w:b w:val="0"/>
          <w:sz w:val="24"/>
          <w:szCs w:val="24"/>
        </w:rPr>
        <w:t xml:space="preserve"> mức </w:t>
      </w:r>
      <w:r w:rsidR="00AF1754" w:rsidRPr="00837F50">
        <w:rPr>
          <w:rStyle w:val="Strong"/>
          <w:b w:val="0"/>
          <w:sz w:val="24"/>
          <w:szCs w:val="24"/>
        </w:rPr>
        <w:t xml:space="preserve">lương </w:t>
      </w:r>
      <w:r w:rsidR="00770A86" w:rsidRPr="00837F50">
        <w:rPr>
          <w:rStyle w:val="Strong"/>
          <w:b w:val="0"/>
          <w:sz w:val="24"/>
          <w:szCs w:val="24"/>
        </w:rPr>
        <w:t xml:space="preserve">tối thiểu là </w:t>
      </w:r>
      <w:r w:rsidR="00770A86" w:rsidRPr="00837F50">
        <w:rPr>
          <w:rStyle w:val="Strong"/>
          <w:b w:val="0"/>
          <w:sz w:val="24"/>
          <w:szCs w:val="24"/>
          <w:lang w:val="en-US"/>
        </w:rPr>
        <w:t>4,0</w:t>
      </w:r>
      <w:r w:rsidR="00770A86" w:rsidRPr="00837F50">
        <w:rPr>
          <w:rStyle w:val="Strong"/>
          <w:b w:val="0"/>
          <w:sz w:val="24"/>
          <w:szCs w:val="24"/>
        </w:rPr>
        <w:t xml:space="preserve"> triệu/người/tháng,</w:t>
      </w:r>
      <w:r w:rsidR="00770A86" w:rsidRPr="00837F50">
        <w:rPr>
          <w:rStyle w:val="Strong"/>
          <w:b w:val="0"/>
          <w:sz w:val="24"/>
          <w:szCs w:val="24"/>
          <w:lang w:val="en-US"/>
        </w:rPr>
        <w:t xml:space="preserve"> mức lương bình quân của lao động phổ</w:t>
      </w:r>
      <w:r w:rsidR="008D7457" w:rsidRPr="00837F50">
        <w:rPr>
          <w:rStyle w:val="Strong"/>
          <w:b w:val="0"/>
          <w:sz w:val="24"/>
          <w:szCs w:val="24"/>
          <w:lang w:val="en-US"/>
        </w:rPr>
        <w:t xml:space="preserve"> thông là 7</w:t>
      </w:r>
      <w:r w:rsidR="00770A86" w:rsidRPr="00837F50">
        <w:rPr>
          <w:rStyle w:val="Strong"/>
          <w:b w:val="0"/>
          <w:sz w:val="24"/>
          <w:szCs w:val="24"/>
          <w:lang w:val="en-US"/>
        </w:rPr>
        <w:t>,0</w:t>
      </w:r>
      <w:r w:rsidR="00770A86" w:rsidRPr="00837F50">
        <w:rPr>
          <w:rStyle w:val="Strong"/>
          <w:b w:val="0"/>
          <w:sz w:val="24"/>
          <w:szCs w:val="24"/>
        </w:rPr>
        <w:t xml:space="preserve"> triệu/người/tháng</w:t>
      </w:r>
      <w:r w:rsidR="00770A86" w:rsidRPr="00837F50">
        <w:rPr>
          <w:rStyle w:val="Strong"/>
          <w:b w:val="0"/>
          <w:sz w:val="24"/>
          <w:szCs w:val="24"/>
          <w:lang w:val="en-US"/>
        </w:rPr>
        <w:t>;</w:t>
      </w:r>
      <w:r w:rsidR="00770A86" w:rsidRPr="00837F50">
        <w:rPr>
          <w:rStyle w:val="Strong"/>
          <w:b w:val="0"/>
          <w:sz w:val="24"/>
          <w:szCs w:val="24"/>
        </w:rPr>
        <w:t xml:space="preserve"> nhân viên văn phòng có mức lương </w:t>
      </w:r>
      <w:r w:rsidR="00770A86" w:rsidRPr="00837F50">
        <w:rPr>
          <w:rStyle w:val="Strong"/>
          <w:b w:val="0"/>
          <w:sz w:val="24"/>
          <w:szCs w:val="24"/>
          <w:lang w:val="en-US"/>
        </w:rPr>
        <w:t xml:space="preserve">8,0 </w:t>
      </w:r>
      <w:r w:rsidR="00770A86" w:rsidRPr="00837F50">
        <w:rPr>
          <w:rStyle w:val="Strong"/>
          <w:b w:val="0"/>
          <w:sz w:val="24"/>
          <w:szCs w:val="24"/>
        </w:rPr>
        <w:t>triệu/người/tháng</w:t>
      </w:r>
      <w:r w:rsidR="00770A86" w:rsidRPr="00837F50">
        <w:rPr>
          <w:rStyle w:val="Strong"/>
          <w:b w:val="0"/>
          <w:sz w:val="24"/>
          <w:szCs w:val="24"/>
          <w:lang w:val="en-US"/>
        </w:rPr>
        <w:t>; riêng cán bộ quản lý</w:t>
      </w:r>
      <w:r w:rsidR="00770A86" w:rsidRPr="00837F50">
        <w:rPr>
          <w:rStyle w:val="Strong"/>
          <w:b w:val="0"/>
          <w:sz w:val="24"/>
          <w:szCs w:val="24"/>
        </w:rPr>
        <w:t xml:space="preserve"> có mức lương bình quân </w:t>
      </w:r>
      <w:r w:rsidR="00770A86" w:rsidRPr="00837F50">
        <w:rPr>
          <w:rStyle w:val="Strong"/>
          <w:b w:val="0"/>
          <w:sz w:val="24"/>
          <w:szCs w:val="24"/>
          <w:lang w:val="en-US"/>
        </w:rPr>
        <w:t>15</w:t>
      </w:r>
      <w:r w:rsidR="00770A86" w:rsidRPr="00837F50">
        <w:rPr>
          <w:rStyle w:val="Strong"/>
          <w:b w:val="0"/>
          <w:sz w:val="24"/>
          <w:szCs w:val="24"/>
        </w:rPr>
        <w:t xml:space="preserve"> triệu/người/tháng. Như vậy, có sự chênh </w:t>
      </w:r>
      <w:r w:rsidR="00A55E88">
        <w:rPr>
          <w:rStyle w:val="Strong"/>
          <w:b w:val="0"/>
          <w:sz w:val="24"/>
          <w:szCs w:val="24"/>
        </w:rPr>
        <w:t xml:space="preserve">lệch </w:t>
      </w:r>
      <w:r w:rsidR="00770A86" w:rsidRPr="00837F50">
        <w:rPr>
          <w:rStyle w:val="Strong"/>
          <w:b w:val="0"/>
          <w:sz w:val="24"/>
          <w:szCs w:val="24"/>
        </w:rPr>
        <w:t xml:space="preserve">về tiền lương giữa các đối tượng lao động tại KCN </w:t>
      </w:r>
      <w:r w:rsidR="00770A86" w:rsidRPr="00837F50">
        <w:rPr>
          <w:sz w:val="24"/>
          <w:szCs w:val="24"/>
          <w:lang w:val="en-US"/>
        </w:rPr>
        <w:t xml:space="preserve">Bàu Xéo </w:t>
      </w:r>
      <w:r w:rsidR="00770A86" w:rsidRPr="00837F50">
        <w:rPr>
          <w:rStyle w:val="Strong"/>
          <w:b w:val="0"/>
          <w:sz w:val="24"/>
          <w:szCs w:val="24"/>
        </w:rPr>
        <w:t>và trong các công ty</w:t>
      </w:r>
      <w:r w:rsidR="00770A86" w:rsidRPr="00837F50">
        <w:rPr>
          <w:rStyle w:val="Strong"/>
          <w:b w:val="0"/>
          <w:sz w:val="24"/>
          <w:szCs w:val="24"/>
          <w:lang w:val="en-US"/>
        </w:rPr>
        <w:t>. D</w:t>
      </w:r>
      <w:r w:rsidR="00770A86" w:rsidRPr="00837F50">
        <w:rPr>
          <w:rStyle w:val="Strong"/>
          <w:b w:val="0"/>
          <w:sz w:val="24"/>
          <w:szCs w:val="24"/>
        </w:rPr>
        <w:t>o đó</w:t>
      </w:r>
      <w:r w:rsidR="00770A86" w:rsidRPr="00837F50">
        <w:rPr>
          <w:rStyle w:val="Strong"/>
          <w:b w:val="0"/>
          <w:sz w:val="24"/>
          <w:szCs w:val="24"/>
          <w:lang w:val="en-US"/>
        </w:rPr>
        <w:t xml:space="preserve">, </w:t>
      </w:r>
      <w:r w:rsidR="00770A86" w:rsidRPr="00837F50">
        <w:rPr>
          <w:rStyle w:val="Strong"/>
          <w:b w:val="0"/>
          <w:sz w:val="24"/>
          <w:szCs w:val="24"/>
        </w:rPr>
        <w:t>công ty cần thu hút đầu tư, sản xuất, kinh doanh của các doanh nghiệp trong KCN để từ đó tìm kiếm thêm nhiều cơ hội, hợp đồng kinh doanh với các đối tác trong và ngoài nước, mở rộng quy mô hoạt động sản xuất, từ đó cải thiện mức lương hiện tại của người lao động đặc biệt là nâng cao mức lương lao động phổ thông.</w:t>
      </w:r>
    </w:p>
    <w:p w14:paraId="13807DFC" w14:textId="73694088" w:rsidR="00770A86" w:rsidRPr="00837F50" w:rsidRDefault="00AF1754" w:rsidP="00B120BE">
      <w:pPr>
        <w:spacing w:line="288" w:lineRule="auto"/>
        <w:jc w:val="both"/>
        <w:rPr>
          <w:i/>
        </w:rPr>
      </w:pPr>
      <w:bookmarkStart w:id="26" w:name="_Toc483926094"/>
      <w:r w:rsidRPr="00837F50">
        <w:rPr>
          <w:i/>
        </w:rPr>
        <w:t xml:space="preserve">b. </w:t>
      </w:r>
      <w:r w:rsidR="00770A86" w:rsidRPr="00837F50">
        <w:rPr>
          <w:i/>
        </w:rPr>
        <w:t>Đào tạo nghề</w:t>
      </w:r>
      <w:bookmarkEnd w:id="26"/>
    </w:p>
    <w:p w14:paraId="33805513" w14:textId="6594846B" w:rsidR="00770A86" w:rsidRPr="00837F50" w:rsidRDefault="00770A86" w:rsidP="00670B73">
      <w:pPr>
        <w:pStyle w:val="doanvan"/>
        <w:spacing w:before="0" w:after="0"/>
        <w:rPr>
          <w:sz w:val="24"/>
          <w:szCs w:val="24"/>
        </w:rPr>
      </w:pPr>
      <w:r w:rsidRPr="00837F50">
        <w:rPr>
          <w:sz w:val="24"/>
          <w:szCs w:val="24"/>
        </w:rPr>
        <w:t>Tính đến thời điểm hiện tại</w:t>
      </w:r>
      <w:r w:rsidRPr="00837F50">
        <w:rPr>
          <w:sz w:val="24"/>
          <w:szCs w:val="24"/>
          <w:lang w:val="en-US"/>
        </w:rPr>
        <w:t>,</w:t>
      </w:r>
      <w:r w:rsidRPr="00837F50">
        <w:rPr>
          <w:sz w:val="24"/>
          <w:szCs w:val="24"/>
        </w:rPr>
        <w:t xml:space="preserve"> KCN </w:t>
      </w:r>
      <w:r w:rsidRPr="00837F50">
        <w:rPr>
          <w:sz w:val="24"/>
          <w:szCs w:val="24"/>
          <w:lang w:val="en-US"/>
        </w:rPr>
        <w:t>Bàu Xéo</w:t>
      </w:r>
      <w:r w:rsidRPr="00837F50">
        <w:rPr>
          <w:sz w:val="24"/>
          <w:szCs w:val="24"/>
        </w:rPr>
        <w:t xml:space="preserve"> có </w:t>
      </w:r>
      <w:r w:rsidRPr="00837F50">
        <w:rPr>
          <w:sz w:val="24"/>
          <w:szCs w:val="24"/>
          <w:lang w:val="en-US"/>
        </w:rPr>
        <w:t>27</w:t>
      </w:r>
      <w:r w:rsidRPr="00837F50">
        <w:rPr>
          <w:sz w:val="24"/>
          <w:szCs w:val="24"/>
        </w:rPr>
        <w:t xml:space="preserve"> doanh nghiệp đã đi vào hoạt động, sử dụng lao động khoảng hơn là </w:t>
      </w:r>
      <w:r w:rsidRPr="00837F50">
        <w:rPr>
          <w:bCs/>
          <w:sz w:val="24"/>
          <w:szCs w:val="24"/>
          <w:lang w:val="de-AT"/>
        </w:rPr>
        <w:t xml:space="preserve">47.049 </w:t>
      </w:r>
      <w:r w:rsidRPr="00837F50">
        <w:rPr>
          <w:sz w:val="24"/>
          <w:szCs w:val="24"/>
        </w:rPr>
        <w:t xml:space="preserve">người. </w:t>
      </w:r>
      <w:r w:rsidR="00916325" w:rsidRPr="00837F50">
        <w:rPr>
          <w:sz w:val="24"/>
          <w:szCs w:val="24"/>
        </w:rPr>
        <w:t xml:space="preserve">Qua thực tế điều tra tại KCN Bàu Xéo, lao động được phân thành hai nhóm gồm lao động đã qua đào tạo (đại học, </w:t>
      </w:r>
      <w:r w:rsidR="00916325" w:rsidRPr="00837F50">
        <w:rPr>
          <w:sz w:val="24"/>
          <w:szCs w:val="24"/>
          <w:lang w:val="en-US"/>
        </w:rPr>
        <w:t>c</w:t>
      </w:r>
      <w:r w:rsidR="00916325" w:rsidRPr="00837F50">
        <w:rPr>
          <w:sz w:val="24"/>
          <w:szCs w:val="24"/>
        </w:rPr>
        <w:t xml:space="preserve">ao đẳng, </w:t>
      </w:r>
      <w:r w:rsidR="00916325" w:rsidRPr="00837F50">
        <w:rPr>
          <w:sz w:val="24"/>
          <w:szCs w:val="24"/>
          <w:lang w:val="en-US"/>
        </w:rPr>
        <w:t>t</w:t>
      </w:r>
      <w:r w:rsidR="00916325" w:rsidRPr="00837F50">
        <w:rPr>
          <w:sz w:val="24"/>
          <w:szCs w:val="24"/>
        </w:rPr>
        <w:t>rung cấp và sơ cấp) và lao động chưa qua đào tạo</w:t>
      </w:r>
      <w:r w:rsidR="00916325" w:rsidRPr="00837F50">
        <w:rPr>
          <w:sz w:val="24"/>
          <w:szCs w:val="24"/>
          <w:lang w:val="en-US"/>
        </w:rPr>
        <w:t xml:space="preserve"> (l</w:t>
      </w:r>
      <w:r w:rsidR="00916325" w:rsidRPr="00837F50">
        <w:rPr>
          <w:sz w:val="24"/>
          <w:szCs w:val="24"/>
        </w:rPr>
        <w:t>ao động phổ thông</w:t>
      </w:r>
      <w:r w:rsidR="00916325" w:rsidRPr="00837F50">
        <w:rPr>
          <w:sz w:val="24"/>
          <w:szCs w:val="24"/>
          <w:lang w:val="en-US"/>
        </w:rPr>
        <w:t>).</w:t>
      </w:r>
      <w:r w:rsidR="00916325" w:rsidRPr="00837F50">
        <w:rPr>
          <w:sz w:val="24"/>
          <w:szCs w:val="24"/>
        </w:rPr>
        <w:t xml:space="preserve"> T</w:t>
      </w:r>
      <w:r w:rsidRPr="00837F50">
        <w:rPr>
          <w:sz w:val="24"/>
          <w:szCs w:val="24"/>
        </w:rPr>
        <w:t>rong đó, lao động có trình độ cao đẳng</w:t>
      </w:r>
      <w:r w:rsidRPr="00837F50">
        <w:rPr>
          <w:sz w:val="24"/>
          <w:szCs w:val="24"/>
          <w:lang w:val="en-US"/>
        </w:rPr>
        <w:t xml:space="preserve"> trở lên</w:t>
      </w:r>
      <w:r w:rsidRPr="00837F50">
        <w:rPr>
          <w:sz w:val="24"/>
          <w:szCs w:val="24"/>
        </w:rPr>
        <w:t xml:space="preserve"> chiếm </w:t>
      </w:r>
      <w:r w:rsidR="0003730F" w:rsidRPr="00837F50">
        <w:rPr>
          <w:sz w:val="24"/>
          <w:szCs w:val="24"/>
        </w:rPr>
        <w:t xml:space="preserve">tỷ lệ chỉ có </w:t>
      </w:r>
      <w:r w:rsidRPr="00837F50">
        <w:rPr>
          <w:sz w:val="24"/>
          <w:szCs w:val="24"/>
          <w:lang w:val="en-US"/>
        </w:rPr>
        <w:t>2,9</w:t>
      </w:r>
      <w:r w:rsidRPr="00837F50">
        <w:rPr>
          <w:sz w:val="24"/>
          <w:szCs w:val="24"/>
        </w:rPr>
        <w:t xml:space="preserve">%, trình độ trung cấp, công nhân kỹ thuật chiếm </w:t>
      </w:r>
      <w:r w:rsidRPr="00837F50">
        <w:rPr>
          <w:sz w:val="24"/>
          <w:szCs w:val="24"/>
          <w:lang w:val="en-US"/>
        </w:rPr>
        <w:t>37,19</w:t>
      </w:r>
      <w:r w:rsidRPr="00837F50">
        <w:rPr>
          <w:sz w:val="24"/>
          <w:szCs w:val="24"/>
        </w:rPr>
        <w:t xml:space="preserve">% và lao động phổ thông chiếm </w:t>
      </w:r>
      <w:r w:rsidR="0003730F" w:rsidRPr="00837F50">
        <w:rPr>
          <w:sz w:val="24"/>
          <w:szCs w:val="24"/>
        </w:rPr>
        <w:t xml:space="preserve">tỷ lệ nhiều nhất với </w:t>
      </w:r>
      <w:r w:rsidRPr="00837F50">
        <w:rPr>
          <w:sz w:val="24"/>
          <w:szCs w:val="24"/>
          <w:lang w:val="en-US"/>
        </w:rPr>
        <w:t>59,91</w:t>
      </w:r>
      <w:r w:rsidRPr="00837F50">
        <w:rPr>
          <w:sz w:val="24"/>
          <w:szCs w:val="24"/>
        </w:rPr>
        <w:t xml:space="preserve">%. </w:t>
      </w:r>
    </w:p>
    <w:p w14:paraId="765E788C" w14:textId="37092E99" w:rsidR="00916325" w:rsidRPr="00837F50" w:rsidRDefault="00916325" w:rsidP="00670B73">
      <w:pPr>
        <w:pStyle w:val="doanvan"/>
        <w:spacing w:before="0" w:after="0"/>
        <w:jc w:val="center"/>
        <w:rPr>
          <w:sz w:val="24"/>
          <w:szCs w:val="24"/>
        </w:rPr>
      </w:pPr>
      <w:r w:rsidRPr="00837F50">
        <w:rPr>
          <w:noProof/>
          <w:sz w:val="24"/>
          <w:szCs w:val="24"/>
          <w:lang w:val="en-US"/>
        </w:rPr>
        <w:lastRenderedPageBreak/>
        <w:drawing>
          <wp:inline distT="0" distB="0" distL="0" distR="0" wp14:anchorId="764D69DD" wp14:editId="3A4BD761">
            <wp:extent cx="4165032" cy="2163412"/>
            <wp:effectExtent l="0" t="0" r="635" b="21590"/>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C9A650" w14:textId="0ADBA574" w:rsidR="00770A86" w:rsidRPr="00837F50" w:rsidRDefault="00770A86" w:rsidP="00670B73">
      <w:pPr>
        <w:pStyle w:val="03HIH"/>
        <w:spacing w:before="0" w:after="0"/>
        <w:rPr>
          <w:color w:val="auto"/>
          <w:sz w:val="24"/>
          <w:szCs w:val="24"/>
          <w:lang w:val="en-US"/>
        </w:rPr>
      </w:pPr>
      <w:bookmarkStart w:id="27" w:name="_Toc515367893"/>
      <w:bookmarkStart w:id="28" w:name="_Toc516410957"/>
      <w:bookmarkStart w:id="29" w:name="_Toc519176571"/>
      <w:r w:rsidRPr="00837F50">
        <w:rPr>
          <w:color w:val="auto"/>
          <w:sz w:val="24"/>
          <w:szCs w:val="24"/>
          <w:lang w:val="en-US"/>
        </w:rPr>
        <w:t>Hình</w:t>
      </w:r>
      <w:r w:rsidRPr="00837F50">
        <w:rPr>
          <w:color w:val="auto"/>
          <w:sz w:val="24"/>
          <w:szCs w:val="24"/>
        </w:rPr>
        <w:t xml:space="preserve"> </w:t>
      </w:r>
      <w:r w:rsidR="0003730F" w:rsidRPr="00837F50">
        <w:rPr>
          <w:color w:val="auto"/>
          <w:sz w:val="24"/>
          <w:szCs w:val="24"/>
        </w:rPr>
        <w:t>6</w:t>
      </w:r>
      <w:r w:rsidRPr="00837F50">
        <w:rPr>
          <w:color w:val="auto"/>
          <w:sz w:val="24"/>
          <w:szCs w:val="24"/>
          <w:lang w:val="en-US"/>
        </w:rPr>
        <w:t xml:space="preserve">. </w:t>
      </w:r>
      <w:r w:rsidRPr="00837F50">
        <w:rPr>
          <w:color w:val="auto"/>
          <w:sz w:val="24"/>
          <w:szCs w:val="24"/>
        </w:rPr>
        <w:t>Cơ cấu đào tạo lao động năm 2016</w:t>
      </w:r>
      <w:bookmarkEnd w:id="27"/>
      <w:bookmarkEnd w:id="28"/>
      <w:bookmarkEnd w:id="29"/>
      <w:r w:rsidR="0003730F" w:rsidRPr="00837F50">
        <w:rPr>
          <w:color w:val="auto"/>
          <w:sz w:val="24"/>
          <w:szCs w:val="24"/>
        </w:rPr>
        <w:t xml:space="preserve"> KCN Bàu Xéo</w:t>
      </w:r>
    </w:p>
    <w:p w14:paraId="17706286" w14:textId="77777777" w:rsidR="00087C52" w:rsidRPr="00087C52" w:rsidRDefault="00087C52" w:rsidP="00670B73">
      <w:pPr>
        <w:pStyle w:val="nguon"/>
        <w:spacing w:before="0" w:after="0"/>
        <w:ind w:right="-7"/>
        <w:jc w:val="right"/>
        <w:rPr>
          <w:sz w:val="24"/>
          <w:szCs w:val="24"/>
          <w:lang w:val="vi-VN"/>
        </w:rPr>
      </w:pPr>
      <w:r w:rsidRPr="00087C52">
        <w:rPr>
          <w:sz w:val="24"/>
          <w:szCs w:val="24"/>
          <w:lang w:val="vi-VN"/>
        </w:rPr>
        <w:t>(Nguồn:</w:t>
      </w:r>
      <w:r w:rsidRPr="00087C52">
        <w:rPr>
          <w:sz w:val="24"/>
          <w:szCs w:val="24"/>
        </w:rPr>
        <w:t xml:space="preserve"> B</w:t>
      </w:r>
      <w:r w:rsidRPr="00087C52">
        <w:rPr>
          <w:sz w:val="24"/>
          <w:szCs w:val="24"/>
          <w:lang w:val="vi-VN"/>
        </w:rPr>
        <w:t xml:space="preserve">an quản lý </w:t>
      </w:r>
      <w:r w:rsidRPr="00087C52">
        <w:rPr>
          <w:sz w:val="24"/>
          <w:szCs w:val="24"/>
        </w:rPr>
        <w:t>các KCN tỉnh Đồng Nai</w:t>
      </w:r>
      <w:r w:rsidRPr="00087C52">
        <w:rPr>
          <w:sz w:val="24"/>
          <w:szCs w:val="24"/>
          <w:lang w:val="vi-VN"/>
        </w:rPr>
        <w:t>)</w:t>
      </w:r>
    </w:p>
    <w:p w14:paraId="4BEE2027" w14:textId="3D95A323" w:rsidR="00770A86" w:rsidRPr="00837F50" w:rsidRDefault="00770A86" w:rsidP="00670B73">
      <w:pPr>
        <w:pStyle w:val="doanvan"/>
        <w:spacing w:before="0" w:after="0"/>
        <w:rPr>
          <w:sz w:val="24"/>
          <w:szCs w:val="24"/>
        </w:rPr>
      </w:pPr>
      <w:r w:rsidRPr="00837F50">
        <w:rPr>
          <w:sz w:val="24"/>
          <w:szCs w:val="24"/>
        </w:rPr>
        <w:t>Công tác đào tạo nhân lực</w:t>
      </w:r>
      <w:r w:rsidR="0003730F" w:rsidRPr="00837F50">
        <w:rPr>
          <w:sz w:val="24"/>
          <w:szCs w:val="24"/>
        </w:rPr>
        <w:t xml:space="preserve"> hiện nay</w:t>
      </w:r>
      <w:r w:rsidRPr="00837F50">
        <w:rPr>
          <w:sz w:val="24"/>
          <w:szCs w:val="24"/>
        </w:rPr>
        <w:t xml:space="preserve"> cho KCN</w:t>
      </w:r>
      <w:r w:rsidR="0003730F" w:rsidRPr="00837F50">
        <w:rPr>
          <w:sz w:val="24"/>
          <w:szCs w:val="24"/>
        </w:rPr>
        <w:t xml:space="preserve"> Bàu Xéo</w:t>
      </w:r>
      <w:r w:rsidRPr="00837F50">
        <w:rPr>
          <w:sz w:val="24"/>
          <w:szCs w:val="24"/>
        </w:rPr>
        <w:t xml:space="preserve"> chủ yếu từ trường Cao đẳng nghề Lilama và trường Cao đẳng nghề Sonadezi. Hàng năm</w:t>
      </w:r>
      <w:r w:rsidRPr="00837F50">
        <w:rPr>
          <w:sz w:val="24"/>
          <w:szCs w:val="24"/>
          <w:lang w:val="en-US"/>
        </w:rPr>
        <w:t>,</w:t>
      </w:r>
      <w:r w:rsidRPr="00837F50">
        <w:rPr>
          <w:sz w:val="24"/>
          <w:szCs w:val="24"/>
        </w:rPr>
        <w:t xml:space="preserve"> </w:t>
      </w:r>
      <w:r w:rsidRPr="00837F50">
        <w:rPr>
          <w:sz w:val="24"/>
          <w:szCs w:val="24"/>
          <w:lang w:val="en-US"/>
        </w:rPr>
        <w:t>2</w:t>
      </w:r>
      <w:r w:rsidRPr="00837F50">
        <w:rPr>
          <w:sz w:val="24"/>
          <w:szCs w:val="24"/>
        </w:rPr>
        <w:t xml:space="preserve"> trường này đào tạo ra hàng ngàn lao động có trình độ ngắn hạn, sơ cấp, trung cấp và cao đẳng nghề</w:t>
      </w:r>
      <w:r w:rsidRPr="00837F50">
        <w:rPr>
          <w:sz w:val="24"/>
          <w:szCs w:val="24"/>
          <w:lang w:val="en-US"/>
        </w:rPr>
        <w:t xml:space="preserve"> </w:t>
      </w:r>
      <w:r w:rsidRPr="00837F50">
        <w:rPr>
          <w:sz w:val="24"/>
          <w:szCs w:val="24"/>
        </w:rPr>
        <w:t xml:space="preserve">nhưng vẫn chưa đáp </w:t>
      </w:r>
      <w:r w:rsidRPr="00837F50">
        <w:rPr>
          <w:sz w:val="24"/>
          <w:szCs w:val="24"/>
          <w:lang w:val="en-US"/>
        </w:rPr>
        <w:t>ứ</w:t>
      </w:r>
      <w:r w:rsidRPr="00837F50">
        <w:rPr>
          <w:sz w:val="24"/>
          <w:szCs w:val="24"/>
        </w:rPr>
        <w:t>ng được nhu cầ</w:t>
      </w:r>
      <w:r w:rsidR="00A55E88">
        <w:rPr>
          <w:sz w:val="24"/>
          <w:szCs w:val="24"/>
        </w:rPr>
        <w:t>u l</w:t>
      </w:r>
      <w:r w:rsidRPr="00837F50">
        <w:rPr>
          <w:sz w:val="24"/>
          <w:szCs w:val="24"/>
        </w:rPr>
        <w:t xml:space="preserve">ao động có trình độ. Nguyên nhân chủ yếu là do các cơ sở đào tạo trên địa bàn tỉnh vẫn chưa cập nhật các tiến bộ của khoa học kỹ thuật nên giáo trình chậm được đổi mới, đội ngũ giảng viên giỏi còn hạn chế, máy móc thiết bị của các cơ sở đào tạo còn lạc hậu, một bộ phận công nhân chưa có ý thức tự giác tiếp thu để nâng cao tay nghề, </w:t>
      </w:r>
      <w:r w:rsidRPr="00837F50">
        <w:rPr>
          <w:sz w:val="24"/>
          <w:szCs w:val="24"/>
          <w:lang w:val="en-US"/>
        </w:rPr>
        <w:t>đ</w:t>
      </w:r>
      <w:r w:rsidRPr="00837F50">
        <w:rPr>
          <w:sz w:val="24"/>
          <w:szCs w:val="24"/>
        </w:rPr>
        <w:t>ào tạo nghề chưa thực sự phù hợp với nhu cầu hiện tại. Vì vậy, trong thời gian tới, các DN cần xây dựng nhu cầu đào tạo, đặt ra các yêu cầu với cơ sở dạy nghề; nâng cấp các cơ sở vật chất, các thiết bị phục vụ cho công tác thực hành.</w:t>
      </w:r>
      <w:r w:rsidRPr="00837F50">
        <w:rPr>
          <w:sz w:val="24"/>
          <w:szCs w:val="24"/>
          <w:lang w:val="en-US"/>
        </w:rPr>
        <w:t xml:space="preserve"> </w:t>
      </w:r>
      <w:r w:rsidRPr="00837F50">
        <w:rPr>
          <w:sz w:val="24"/>
          <w:szCs w:val="24"/>
        </w:rPr>
        <w:t>Thống nhất với cơ sở đào tạo nội dung chương trình theo hướng tăng thời lượng rèn luyện kỹ năng thực hành nghề, bảo đảm người lao động thực hành thành thục các thao thác sau đào tạo.</w:t>
      </w:r>
    </w:p>
    <w:p w14:paraId="0954674A" w14:textId="18D46B0F" w:rsidR="00770A86" w:rsidRPr="00837F50" w:rsidRDefault="008D7457" w:rsidP="00670B73">
      <w:pPr>
        <w:pStyle w:val="04"/>
        <w:spacing w:before="0" w:after="0"/>
        <w:rPr>
          <w:color w:val="auto"/>
          <w:sz w:val="24"/>
          <w:szCs w:val="24"/>
        </w:rPr>
      </w:pPr>
      <w:bookmarkStart w:id="30" w:name="_Toc483926095"/>
      <w:bookmarkStart w:id="31" w:name="_Toc483926320"/>
      <w:bookmarkStart w:id="32" w:name="_Toc483926549"/>
      <w:bookmarkStart w:id="33" w:name="_Toc483926682"/>
      <w:r w:rsidRPr="00837F50">
        <w:rPr>
          <w:color w:val="auto"/>
          <w:sz w:val="24"/>
          <w:szCs w:val="24"/>
        </w:rPr>
        <w:t>3.</w:t>
      </w:r>
      <w:r w:rsidR="00770A86" w:rsidRPr="00837F50">
        <w:rPr>
          <w:color w:val="auto"/>
          <w:sz w:val="24"/>
          <w:szCs w:val="24"/>
        </w:rPr>
        <w:t>3. Hiệu quả về môi trường</w:t>
      </w:r>
      <w:bookmarkEnd w:id="30"/>
      <w:bookmarkEnd w:id="31"/>
      <w:bookmarkEnd w:id="32"/>
      <w:bookmarkEnd w:id="33"/>
    </w:p>
    <w:p w14:paraId="76D8FD1F" w14:textId="19386AC0" w:rsidR="00770A86" w:rsidRPr="00670B73" w:rsidRDefault="006F311B" w:rsidP="00670B73">
      <w:pPr>
        <w:pStyle w:val="doanvan"/>
        <w:tabs>
          <w:tab w:val="left" w:pos="851"/>
        </w:tabs>
        <w:spacing w:before="0" w:after="0"/>
        <w:rPr>
          <w:sz w:val="24"/>
          <w:szCs w:val="24"/>
          <w:lang w:val="en-US"/>
        </w:rPr>
      </w:pPr>
      <w:r w:rsidRPr="00670B73">
        <w:rPr>
          <w:i/>
          <w:sz w:val="24"/>
          <w:szCs w:val="24"/>
        </w:rPr>
        <w:t>Đối với c</w:t>
      </w:r>
      <w:r w:rsidR="00770A86" w:rsidRPr="00670B73">
        <w:rPr>
          <w:i/>
          <w:sz w:val="24"/>
          <w:szCs w:val="24"/>
        </w:rPr>
        <w:t>ông tác thu gom và xử lý chất thải rắn</w:t>
      </w:r>
      <w:r w:rsidR="00770A86" w:rsidRPr="00670B73">
        <w:rPr>
          <w:i/>
          <w:sz w:val="24"/>
          <w:szCs w:val="24"/>
          <w:lang w:val="en-US"/>
        </w:rPr>
        <w:t>, chất thải nguy hại</w:t>
      </w:r>
      <w:r w:rsidR="00BE5881" w:rsidRPr="00670B73">
        <w:rPr>
          <w:i/>
          <w:sz w:val="24"/>
          <w:szCs w:val="24"/>
          <w:lang w:val="en-US"/>
        </w:rPr>
        <w:t>:</w:t>
      </w:r>
      <w:r w:rsidRPr="00670B73">
        <w:rPr>
          <w:sz w:val="24"/>
          <w:szCs w:val="24"/>
          <w:lang w:val="en-US"/>
        </w:rPr>
        <w:t xml:space="preserve"> </w:t>
      </w:r>
      <w:r w:rsidR="00BE5881" w:rsidRPr="00670B73">
        <w:rPr>
          <w:sz w:val="24"/>
          <w:szCs w:val="24"/>
          <w:lang w:val="en-US"/>
        </w:rPr>
        <w:t xml:space="preserve">KCN Bàu Xéo </w:t>
      </w:r>
      <w:r w:rsidR="00770A86" w:rsidRPr="00670B73">
        <w:rPr>
          <w:sz w:val="24"/>
          <w:szCs w:val="24"/>
          <w:lang w:val="en-US"/>
        </w:rPr>
        <w:t>đã trang bị các thùng chứa rác 200 lít có nắp đậy đặt theo dọc các tuyến đường nội bộ để gom rác thải sinh hoạt. Xây dựng kho lưu giữ tạm thời chất thải công nghiệp thông thường và chất thải nguy hại có diện tích 100 m</w:t>
      </w:r>
      <w:r w:rsidR="00770A86" w:rsidRPr="00670B73">
        <w:rPr>
          <w:sz w:val="24"/>
          <w:szCs w:val="24"/>
          <w:vertAlign w:val="superscript"/>
          <w:lang w:val="en-US"/>
        </w:rPr>
        <w:t>2</w:t>
      </w:r>
      <w:r w:rsidR="00770A86" w:rsidRPr="00670B73">
        <w:rPr>
          <w:sz w:val="24"/>
          <w:szCs w:val="24"/>
          <w:lang w:val="en-US"/>
        </w:rPr>
        <w:t xml:space="preserve">, thực hiện quản lý chất thải rắn và chất thải nguy hại theo quy định </w:t>
      </w:r>
      <w:r w:rsidR="00770A86" w:rsidRPr="00670B73">
        <w:rPr>
          <w:sz w:val="24"/>
          <w:szCs w:val="24"/>
        </w:rPr>
        <w:t>và</w:t>
      </w:r>
      <w:r w:rsidR="00770A86" w:rsidRPr="00670B73">
        <w:rPr>
          <w:sz w:val="24"/>
          <w:szCs w:val="24"/>
          <w:lang w:val="en-US"/>
        </w:rPr>
        <w:t xml:space="preserve"> sau đó</w:t>
      </w:r>
      <w:r w:rsidR="00770A86" w:rsidRPr="00670B73">
        <w:rPr>
          <w:sz w:val="24"/>
          <w:szCs w:val="24"/>
        </w:rPr>
        <w:t xml:space="preserve"> hợp đồng với xí nghiệp dịch vụ quản lý môi trường Tài </w:t>
      </w:r>
      <w:r w:rsidR="00770A86" w:rsidRPr="00670B73">
        <w:rPr>
          <w:sz w:val="24"/>
          <w:szCs w:val="24"/>
          <w:lang w:val="en-US"/>
        </w:rPr>
        <w:t>T</w:t>
      </w:r>
      <w:r w:rsidR="00770A86" w:rsidRPr="00670B73">
        <w:rPr>
          <w:sz w:val="24"/>
          <w:szCs w:val="24"/>
        </w:rPr>
        <w:t>iến vận chuyển đi xử lý tại khu xử lý chất thải công nghiệp tại xã Tây Hòa, huyện Trảng Bom.</w:t>
      </w:r>
      <w:r w:rsidR="00770A86" w:rsidRPr="00670B73">
        <w:rPr>
          <w:sz w:val="24"/>
          <w:szCs w:val="24"/>
          <w:lang w:val="en-US"/>
        </w:rPr>
        <w:t xml:space="preserve"> </w:t>
      </w:r>
    </w:p>
    <w:p w14:paraId="2C6312DC" w14:textId="77777777" w:rsidR="00A55E88" w:rsidRDefault="006F311B" w:rsidP="00A55E88">
      <w:pPr>
        <w:spacing w:line="288" w:lineRule="auto"/>
        <w:ind w:firstLine="567"/>
        <w:jc w:val="both"/>
      </w:pPr>
      <w:r w:rsidRPr="00837F50">
        <w:rPr>
          <w:i/>
        </w:rPr>
        <w:t>Đối với c</w:t>
      </w:r>
      <w:r w:rsidR="00770A86" w:rsidRPr="00837F50">
        <w:rPr>
          <w:i/>
        </w:rPr>
        <w:t>ông tác thu gom và xử lý nước thải</w:t>
      </w:r>
      <w:r w:rsidRPr="00837F50">
        <w:rPr>
          <w:i/>
        </w:rPr>
        <w:t xml:space="preserve">: </w:t>
      </w:r>
      <w:r w:rsidR="00A55E88" w:rsidRPr="00837F50">
        <w:t xml:space="preserve">Hiện nay, KCN Bàu Xéo có 27 doanh nghiệp đã đi vào hoạt động thu hút các ngành nghề ít gây ô nhiễm môi trường. </w:t>
      </w:r>
      <w:r w:rsidR="00A55E88">
        <w:t>Tuy nhiên, p</w:t>
      </w:r>
      <w:r w:rsidR="00A55E88" w:rsidRPr="00837F50">
        <w:t xml:space="preserve">hần lớn các doanh nghiệp nằm trong KCN này chưa có hệ thống xử lý chất thải hoàn chỉnh nên nước thải được thu gom về khu xử lý nước thải tập trung của KCN. Trong 27 Công ty, chỉ có hai công ty xây dựng công trình xử lý nước thải riêng biệt đó là Công ty TNHH </w:t>
      </w:r>
      <w:r w:rsidR="00A55E88" w:rsidRPr="00670B73">
        <w:t>Pousung có 2 trạm với tổng công suất 3.700 m</w:t>
      </w:r>
      <w:r w:rsidR="00A55E88" w:rsidRPr="00670B73">
        <w:rPr>
          <w:vertAlign w:val="superscript"/>
        </w:rPr>
        <w:t>3</w:t>
      </w:r>
      <w:r w:rsidR="00A55E88" w:rsidRPr="00670B73">
        <w:t xml:space="preserve"> /ngày/đêm và Công ty TNHH Shing Mark có 1 trạm với công suất 700 m</w:t>
      </w:r>
      <w:r w:rsidR="00A55E88" w:rsidRPr="00670B73">
        <w:rPr>
          <w:vertAlign w:val="superscript"/>
        </w:rPr>
        <w:t>3</w:t>
      </w:r>
      <w:r w:rsidR="00A55E88" w:rsidRPr="00670B73">
        <w:t xml:space="preserve"> /ngày/đêm. </w:t>
      </w:r>
    </w:p>
    <w:p w14:paraId="4D705AA9" w14:textId="67A7D353" w:rsidR="00770A86" w:rsidRPr="00837F50" w:rsidRDefault="006F311B" w:rsidP="00A55E88">
      <w:pPr>
        <w:tabs>
          <w:tab w:val="left" w:pos="851"/>
        </w:tabs>
        <w:spacing w:line="288" w:lineRule="auto"/>
        <w:ind w:firstLine="567"/>
        <w:jc w:val="both"/>
      </w:pPr>
      <w:r w:rsidRPr="00837F50">
        <w:rPr>
          <w:i/>
        </w:rPr>
        <w:t>Đối với c</w:t>
      </w:r>
      <w:r w:rsidR="00770A86" w:rsidRPr="00837F50">
        <w:rPr>
          <w:i/>
        </w:rPr>
        <w:t>ông tác thu gom và xử lý khí thả</w:t>
      </w:r>
      <w:r w:rsidRPr="00837F50">
        <w:rPr>
          <w:i/>
        </w:rPr>
        <w:t xml:space="preserve">i: </w:t>
      </w:r>
      <w:r w:rsidR="00770A86" w:rsidRPr="00837F50">
        <w:t xml:space="preserve">Tại khu công nghiệp Bàu Xéo khí thải của những doanh nghiệp có nguồn thải cố định do đốt nhiên liệu cung cấp cho lò hơi, lò sấy, lò đúc, máy phát điện… khí thải sinh ra trong quá trình sản xuất được phát thải trực tiếp ra môi trường. Trong KCN Bàu Xéo không có hệ thống xử lý khí thải, xét về lâu dài thì chủ đầu tư kinh doanh </w:t>
      </w:r>
      <w:r w:rsidR="00770A86" w:rsidRPr="00837F50">
        <w:lastRenderedPageBreak/>
        <w:t xml:space="preserve">hạ tầng Công ty cổ phần Thống Nhất cũng như các nhà máy cần quan tâm đến các chỉ tiêu khí thải, nếu cần thiết phải xử lý đạt chuẩn trước khi phát thải ra môi trường tự nhiên. </w:t>
      </w:r>
    </w:p>
    <w:p w14:paraId="08B80D8F" w14:textId="0A489A12" w:rsidR="00770A86" w:rsidRPr="00837F50" w:rsidRDefault="006F311B" w:rsidP="00A55E88">
      <w:pPr>
        <w:spacing w:line="288" w:lineRule="auto"/>
        <w:ind w:firstLine="567"/>
        <w:jc w:val="both"/>
      </w:pPr>
      <w:r w:rsidRPr="00837F50">
        <w:rPr>
          <w:i/>
        </w:rPr>
        <w:t>Đối với c</w:t>
      </w:r>
      <w:r w:rsidR="00770A86" w:rsidRPr="00837F50">
        <w:rPr>
          <w:i/>
        </w:rPr>
        <w:t>ông trình bảo vệ môi trường khác</w:t>
      </w:r>
      <w:r w:rsidRPr="00837F50">
        <w:rPr>
          <w:i/>
        </w:rPr>
        <w:t xml:space="preserve">: </w:t>
      </w:r>
      <w:r w:rsidR="00770A86" w:rsidRPr="00837F50">
        <w:t xml:space="preserve">Khu công nghiệp đã tự động hóa bằng cách lắp đặt hệ thống quan trắc tự động, liên tục để giám sát chất lượng nước thải sau khi xử lý với các thông số lưu lượng, nhiệt độ, pH, DO, TSS, COD, Amoni, Nitrat, truyền dữ liệu về Sở Tài nguyên và Môi trường tỉnh Đồng Nai. </w:t>
      </w:r>
      <w:r w:rsidR="00087C52">
        <w:t>Trong KCN cũng đã tiến hành t</w:t>
      </w:r>
      <w:r w:rsidR="00770A86" w:rsidRPr="00837F50">
        <w:t xml:space="preserve">rồng cây xanh, thảm cỏ dọc các tuyến đường nội bộ KCN với tổng diện tích 12,77%. </w:t>
      </w:r>
    </w:p>
    <w:p w14:paraId="342AC67F" w14:textId="5E53CCE0" w:rsidR="002C29B3" w:rsidRPr="00837F50" w:rsidRDefault="002C29B3" w:rsidP="00670B73">
      <w:pPr>
        <w:spacing w:line="288" w:lineRule="auto"/>
        <w:jc w:val="both"/>
        <w:rPr>
          <w:i/>
        </w:rPr>
      </w:pPr>
      <w:r w:rsidRPr="00837F50">
        <w:rPr>
          <w:i/>
        </w:rPr>
        <w:t>3.4. Đánh giá chung hiệu quả sử dụng đất tại KCN Bàu Xéo</w:t>
      </w:r>
    </w:p>
    <w:p w14:paraId="1F533C2D" w14:textId="1281C48A" w:rsidR="002C29B3" w:rsidRPr="00837F50" w:rsidRDefault="002C29B3" w:rsidP="00B120BE">
      <w:pPr>
        <w:spacing w:line="288" w:lineRule="auto"/>
        <w:ind w:firstLine="567"/>
        <w:jc w:val="both"/>
      </w:pPr>
      <w:r w:rsidRPr="00837F50">
        <w:t>Qua đánh giá các chỉ tiêu về hiệu quả kinh tế, xã hội và môi trường, có thể thấy dự án KCN Bàu xéo góp phần thúc đẩy nhanh quá trình đô thị hóa trong khu vực, kích thích và khuyến khích các ngành kinh tế khác của tỉnh, kích thích nông nghiệp trong tỉnh và các tỉnh lân cận phát triển theo hướng sản xuất các nguyên liệu cung cấp cho công nghiệp, mặt khác đẩy nhanh các loại công nghiệp phụ trợ phát triển, trên cơ sở tạo thêm những chỗ làm mới mang tính chất công nghiệp góp phần cải thiện đời sống, nâng cao dân trí cho nhân dân địa phương. Trực tiếp hoặc gián tiếp nâng cao trình độ cũng như những kinh nghiệm về quản lý, về đầu tư xây dựng, về kỹ thuật công nghệ và kinh doanh cho người lao động. Dự án đã mang lại một hệ thống cơ sở hạ tầng kỹ thuật hoàn chỉnh có khả năng phục vụ cho sự phát triển kinh tế, xã hội và bảo vệ môi trường của tỉnh Đồng Nai theo hướng bền vững.</w:t>
      </w:r>
    </w:p>
    <w:p w14:paraId="57385919" w14:textId="77777777" w:rsidR="002C29B3" w:rsidRPr="00837F50" w:rsidRDefault="002C29B3" w:rsidP="00B120BE">
      <w:pPr>
        <w:spacing w:line="288" w:lineRule="auto"/>
        <w:ind w:firstLine="567"/>
        <w:jc w:val="both"/>
      </w:pPr>
      <w:r w:rsidRPr="00837F50">
        <w:t>Như vậy, quyết định đầu tư xây dựng KCN Bàu xéo vào thời điểm năm 2006, sau hơn 12 năm hoạt động cho thấy được định hướng của tỉnh Đồng Nai là đúng đắn.Với những bước đi cơ bản và bền vững như vậy, lại chiếm vị trí thuận lợi, KCN Bàu Xéo tiếp tục sẽ là lựa chọn của các nhà đầu tư với các dự án có vốn lớn và công nghệ cao.</w:t>
      </w:r>
    </w:p>
    <w:p w14:paraId="5281DCDF" w14:textId="77777777" w:rsidR="006F311B" w:rsidRPr="00837F50" w:rsidRDefault="006F311B" w:rsidP="00670B73">
      <w:pPr>
        <w:spacing w:line="288" w:lineRule="auto"/>
        <w:jc w:val="both"/>
        <w:rPr>
          <w:b/>
          <w:i/>
        </w:rPr>
      </w:pPr>
      <w:r w:rsidRPr="00837F50">
        <w:rPr>
          <w:b/>
          <w:i/>
        </w:rPr>
        <w:t>4. KẾT LUẬN</w:t>
      </w:r>
    </w:p>
    <w:p w14:paraId="7A43A92E" w14:textId="3087EE1B" w:rsidR="006F311B" w:rsidRPr="00837F50" w:rsidRDefault="006F311B" w:rsidP="00670B73">
      <w:pPr>
        <w:spacing w:line="288" w:lineRule="auto"/>
        <w:ind w:firstLine="539"/>
        <w:jc w:val="both"/>
        <w:rPr>
          <w:lang w:val="af-ZA"/>
        </w:rPr>
      </w:pPr>
      <w:r w:rsidRPr="00837F50">
        <w:rPr>
          <w:lang w:val="af-ZA"/>
        </w:rPr>
        <w:t xml:space="preserve">Qua quá trình nghiên cứu có thể thấy việc sử dụng </w:t>
      </w:r>
      <w:r w:rsidR="00623CC5">
        <w:rPr>
          <w:lang w:val="af-ZA"/>
        </w:rPr>
        <w:t xml:space="preserve">đất tại </w:t>
      </w:r>
      <w:r w:rsidRPr="00837F50">
        <w:rPr>
          <w:lang w:val="af-ZA"/>
        </w:rPr>
        <w:t>KCN Bàu Xéo trong giai đoạn 2011 – 2016 vừa qua đã đạt những hiệu quả tích cực về các mặt:</w:t>
      </w:r>
    </w:p>
    <w:p w14:paraId="73795563" w14:textId="67B57F98" w:rsidR="006F311B" w:rsidRPr="00837F50" w:rsidRDefault="006F311B" w:rsidP="00670B73">
      <w:pPr>
        <w:spacing w:line="288" w:lineRule="auto"/>
        <w:ind w:firstLine="539"/>
        <w:jc w:val="both"/>
        <w:rPr>
          <w:lang w:val="af-ZA"/>
        </w:rPr>
      </w:pPr>
      <w:r w:rsidRPr="00837F50">
        <w:rPr>
          <w:lang w:val="af-ZA"/>
        </w:rPr>
        <w:t xml:space="preserve">Đối với hiệu quả kinh tế, việc sử dụng đất của KCN </w:t>
      </w:r>
      <w:r w:rsidRPr="00837F50">
        <w:rPr>
          <w:rFonts w:eastAsia="Times New Roman"/>
        </w:rPr>
        <w:t xml:space="preserve">Bàu Xéo </w:t>
      </w:r>
      <w:r w:rsidRPr="00837F50">
        <w:rPr>
          <w:lang w:val="af-ZA"/>
        </w:rPr>
        <w:t xml:space="preserve">đã góp phần thúc đẩy phát triển công nghiệp dịch vụ, tăng trưởng kinh tế, tạo tiền đề hình thành các trung tâm công nghiệp gắn liền với phát triển đô thị, đẩy nhanh quá trình chuyển dịch cơ cấu kinh tế theo hướng công nghiệp hóa, tăng thu ngân sách cho địa phương. </w:t>
      </w:r>
    </w:p>
    <w:p w14:paraId="10CDA856" w14:textId="6C6B293C" w:rsidR="006F311B" w:rsidRPr="00837F50" w:rsidRDefault="006F311B" w:rsidP="00670B73">
      <w:pPr>
        <w:spacing w:line="288" w:lineRule="auto"/>
        <w:ind w:firstLine="539"/>
        <w:jc w:val="both"/>
        <w:rPr>
          <w:lang w:val="af-ZA"/>
        </w:rPr>
      </w:pPr>
      <w:r w:rsidRPr="00837F50">
        <w:rPr>
          <w:lang w:val="af-ZA"/>
        </w:rPr>
        <w:t xml:space="preserve">Đối với hiệu quả xã hội, việc hình thành KCN </w:t>
      </w:r>
      <w:r w:rsidRPr="00837F50">
        <w:rPr>
          <w:rFonts w:eastAsia="Times New Roman"/>
          <w:lang w:val="af-ZA"/>
        </w:rPr>
        <w:t>Bàu Xéo</w:t>
      </w:r>
      <w:r w:rsidRPr="00837F50">
        <w:rPr>
          <w:lang w:val="af-ZA"/>
        </w:rPr>
        <w:t xml:space="preserve"> đã góp phần giải quyết </w:t>
      </w:r>
      <w:r w:rsidR="00623CC5">
        <w:rPr>
          <w:lang w:val="af-ZA"/>
        </w:rPr>
        <w:t xml:space="preserve">tốt vấn đề việc làm và đào tạo </w:t>
      </w:r>
      <w:r w:rsidRPr="00837F50">
        <w:rPr>
          <w:lang w:val="af-ZA"/>
        </w:rPr>
        <w:t>lao động cho đị</w:t>
      </w:r>
      <w:r w:rsidR="00623CC5">
        <w:rPr>
          <w:lang w:val="af-ZA"/>
        </w:rPr>
        <w:t xml:space="preserve">a phương cũng như các </w:t>
      </w:r>
      <w:r w:rsidRPr="00837F50">
        <w:rPr>
          <w:lang w:val="af-ZA"/>
        </w:rPr>
        <w:t xml:space="preserve">vùng lân cận, nâng cao thu nhập với mức lương trung bình </w:t>
      </w:r>
      <w:r w:rsidR="00623CC5">
        <w:rPr>
          <w:lang w:val="af-ZA"/>
        </w:rPr>
        <w:t xml:space="preserve">là </w:t>
      </w:r>
      <w:r w:rsidRPr="00837F50">
        <w:rPr>
          <w:lang w:val="af-ZA"/>
        </w:rPr>
        <w:t>7,0 triệu đồng/ngườ</w:t>
      </w:r>
      <w:r w:rsidR="00623CC5">
        <w:rPr>
          <w:lang w:val="af-ZA"/>
        </w:rPr>
        <w:t>i/tháng. G</w:t>
      </w:r>
      <w:r w:rsidRPr="00837F50">
        <w:rPr>
          <w:lang w:val="af-ZA"/>
        </w:rPr>
        <w:t>óp phần chuyển dịch cơ cấu lao động nông nghiệp sang lĩnh vực công nghiệp và dịch vụ cho địa phương.</w:t>
      </w:r>
    </w:p>
    <w:p w14:paraId="3CBF97FA" w14:textId="71793929" w:rsidR="006F311B" w:rsidRPr="00837F50" w:rsidRDefault="006F311B" w:rsidP="00670B73">
      <w:pPr>
        <w:spacing w:line="288" w:lineRule="auto"/>
        <w:ind w:firstLine="539"/>
        <w:jc w:val="both"/>
        <w:rPr>
          <w:bCs/>
          <w:lang w:val="fi-FI"/>
        </w:rPr>
      </w:pPr>
      <w:r w:rsidRPr="00837F50">
        <w:rPr>
          <w:lang w:val="af-ZA"/>
        </w:rPr>
        <w:t>Đối với h</w:t>
      </w:r>
      <w:r w:rsidRPr="00837F50">
        <w:t xml:space="preserve">iệu quả môi trường, cùng với </w:t>
      </w:r>
      <w:r w:rsidRPr="00837F50">
        <w:rPr>
          <w:lang w:val="af-ZA"/>
        </w:rPr>
        <w:t xml:space="preserve">quá trình phát triển sản xuất kinh doanh thì công tác bảo vệ môi trường KCN </w:t>
      </w:r>
      <w:r w:rsidRPr="00837F50">
        <w:rPr>
          <w:rFonts w:eastAsia="Times New Roman"/>
          <w:lang w:val="af-ZA"/>
        </w:rPr>
        <w:t xml:space="preserve">Bàu Xéo </w:t>
      </w:r>
      <w:r w:rsidRPr="00837F50">
        <w:rPr>
          <w:lang w:val="af-ZA"/>
        </w:rPr>
        <w:t xml:space="preserve">luôn được quan tâm </w:t>
      </w:r>
      <w:r w:rsidR="00A55E88">
        <w:rPr>
          <w:rFonts w:eastAsia="Times New Roman"/>
          <w:lang w:val="af-ZA" w:eastAsia="x-none"/>
        </w:rPr>
        <w:t xml:space="preserve">với việc đã đầu tư </w:t>
      </w:r>
      <w:r w:rsidR="00A55E88" w:rsidRPr="00837F50">
        <w:rPr>
          <w:rFonts w:eastAsia="Times New Roman"/>
          <w:lang w:val="af-ZA" w:eastAsia="x-none"/>
        </w:rPr>
        <w:t>xây dựng hệ thống</w:t>
      </w:r>
      <w:r w:rsidR="00A55E88">
        <w:rPr>
          <w:rFonts w:eastAsia="Times New Roman"/>
          <w:lang w:val="af-ZA" w:eastAsia="x-none"/>
        </w:rPr>
        <w:t xml:space="preserve"> thu gom và xử lý chất thải rắn,</w:t>
      </w:r>
      <w:r w:rsidR="00A55E88" w:rsidRPr="00837F50">
        <w:rPr>
          <w:rFonts w:eastAsia="Times New Roman"/>
          <w:lang w:val="af-ZA" w:eastAsia="x-none"/>
        </w:rPr>
        <w:t xml:space="preserve"> </w:t>
      </w:r>
      <w:r w:rsidR="00A55E88">
        <w:rPr>
          <w:rFonts w:eastAsia="Times New Roman"/>
          <w:lang w:val="af-ZA" w:eastAsia="x-none"/>
        </w:rPr>
        <w:t>nước thải tập trung</w:t>
      </w:r>
      <w:bookmarkStart w:id="34" w:name="_GoBack"/>
      <w:bookmarkEnd w:id="34"/>
      <w:r w:rsidR="00A55E88">
        <w:rPr>
          <w:rFonts w:eastAsia="Times New Roman"/>
          <w:lang w:val="af-ZA" w:eastAsia="x-none"/>
        </w:rPr>
        <w:t>.</w:t>
      </w:r>
    </w:p>
    <w:p w14:paraId="7128011D" w14:textId="77777777" w:rsidR="00D06B06" w:rsidRPr="00837F50" w:rsidRDefault="00D06B06" w:rsidP="00670B73">
      <w:pPr>
        <w:autoSpaceDE w:val="0"/>
        <w:autoSpaceDN w:val="0"/>
        <w:adjustRightInd w:val="0"/>
        <w:spacing w:line="288" w:lineRule="auto"/>
        <w:jc w:val="both"/>
        <w:rPr>
          <w:lang w:val="vi-VN"/>
        </w:rPr>
      </w:pPr>
    </w:p>
    <w:p w14:paraId="1486D6E6" w14:textId="1E4B6787" w:rsidR="0018758D" w:rsidRDefault="00EC3A1F" w:rsidP="00670B73">
      <w:pPr>
        <w:autoSpaceDE w:val="0"/>
        <w:autoSpaceDN w:val="0"/>
        <w:adjustRightInd w:val="0"/>
        <w:spacing w:line="288" w:lineRule="auto"/>
        <w:jc w:val="center"/>
        <w:rPr>
          <w:b/>
        </w:rPr>
      </w:pPr>
      <w:r w:rsidRPr="00837F50">
        <w:rPr>
          <w:b/>
        </w:rPr>
        <w:t>TÀI LIỆU THAM KHẢO</w:t>
      </w:r>
    </w:p>
    <w:p w14:paraId="0694A82B" w14:textId="77777777" w:rsidR="00EC3A1F" w:rsidRDefault="00EC3A1F" w:rsidP="00670B73">
      <w:pPr>
        <w:autoSpaceDE w:val="0"/>
        <w:autoSpaceDN w:val="0"/>
        <w:adjustRightInd w:val="0"/>
        <w:spacing w:line="288" w:lineRule="auto"/>
        <w:jc w:val="center"/>
        <w:rPr>
          <w:b/>
        </w:rPr>
      </w:pPr>
    </w:p>
    <w:p w14:paraId="54922C01" w14:textId="1B600FFD" w:rsidR="00F50326" w:rsidRPr="00EC3A1F" w:rsidRDefault="00EC3A1F" w:rsidP="00670B73">
      <w:pPr>
        <w:spacing w:line="288" w:lineRule="auto"/>
        <w:jc w:val="both"/>
        <w:rPr>
          <w:lang w:val="af-ZA"/>
        </w:rPr>
      </w:pPr>
      <w:r w:rsidRPr="00EC3A1F">
        <w:rPr>
          <w:lang w:val="af-ZA"/>
        </w:rPr>
        <w:t xml:space="preserve">1. </w:t>
      </w:r>
      <w:r w:rsidR="00F50326" w:rsidRPr="00EC3A1F">
        <w:rPr>
          <w:lang w:val="af-ZA"/>
        </w:rPr>
        <w:t xml:space="preserve"> Ban quản lý khu Công nghiệp tỉnh Đồng Nai (2016), </w:t>
      </w:r>
      <w:r w:rsidRPr="00EC3A1F">
        <w:rPr>
          <w:lang w:val="af-ZA"/>
        </w:rPr>
        <w:t>Báo cáo tình hình kinh tế xã</w:t>
      </w:r>
      <w:r w:rsidR="00B120BE">
        <w:rPr>
          <w:lang w:val="af-ZA"/>
        </w:rPr>
        <w:t xml:space="preserve"> </w:t>
      </w:r>
      <w:r w:rsidR="00F50326" w:rsidRPr="00EC3A1F">
        <w:rPr>
          <w:lang w:val="af-ZA"/>
        </w:rPr>
        <w:t>hội, quố</w:t>
      </w:r>
      <w:r w:rsidR="00B120BE">
        <w:rPr>
          <w:lang w:val="af-ZA"/>
        </w:rPr>
        <w:t>c phòng an ninh 2016;</w:t>
      </w:r>
      <w:r w:rsidR="00F50326" w:rsidRPr="00EC3A1F">
        <w:rPr>
          <w:lang w:val="af-ZA"/>
        </w:rPr>
        <w:t xml:space="preserve"> phương hướng và nhiệm vụ năm 2017.</w:t>
      </w:r>
    </w:p>
    <w:p w14:paraId="476CFFCE" w14:textId="77777777" w:rsidR="00EC3A1F" w:rsidRDefault="00EC3A1F" w:rsidP="00670B73">
      <w:pPr>
        <w:spacing w:line="288" w:lineRule="auto"/>
        <w:jc w:val="both"/>
        <w:rPr>
          <w:lang w:val="af-ZA"/>
        </w:rPr>
      </w:pPr>
      <w:r>
        <w:rPr>
          <w:lang w:val="af-ZA"/>
        </w:rPr>
        <w:t xml:space="preserve">2. </w:t>
      </w:r>
      <w:r w:rsidR="00F50326" w:rsidRPr="00EC3A1F">
        <w:rPr>
          <w:lang w:val="af-ZA"/>
        </w:rPr>
        <w:t>Lê Thế Giới (2008), Hệ thống đánh giá phát triển bền vững các khu công nghiệp Việt Nam, Tạp chí khoa học và công nghệ Đại học Đà Nẵng</w:t>
      </w:r>
    </w:p>
    <w:p w14:paraId="01D27BCE" w14:textId="6D838999" w:rsidR="00EC3A1F" w:rsidRDefault="00EC3A1F" w:rsidP="00670B73">
      <w:pPr>
        <w:spacing w:line="288" w:lineRule="auto"/>
        <w:jc w:val="both"/>
        <w:rPr>
          <w:lang w:val="af-ZA"/>
        </w:rPr>
      </w:pPr>
      <w:r>
        <w:rPr>
          <w:lang w:val="af-ZA"/>
        </w:rPr>
        <w:lastRenderedPageBreak/>
        <w:t xml:space="preserve">3. </w:t>
      </w:r>
      <w:r w:rsidR="00F50326" w:rsidRPr="00EC3A1F">
        <w:rPr>
          <w:lang w:val="af-ZA"/>
        </w:rPr>
        <w:t>Ngô Thắng Lợi, Bùi Đức Tuân, Vũ Thành Hưởng, Vũ Cương (2007), Vấn đề phát triển bền vững các khu công nghiệp ở Việt Nam, Trường Đại học Kinh tế Quốc dân, Tạp chí Khu Công nghiệp Việt Nam (tháng 3/2007), Hà Nội</w:t>
      </w:r>
      <w:r>
        <w:rPr>
          <w:lang w:val="af-ZA"/>
        </w:rPr>
        <w:t>.</w:t>
      </w:r>
    </w:p>
    <w:p w14:paraId="2E69C438" w14:textId="0BEF119E" w:rsidR="00F50326" w:rsidRPr="00EC3A1F" w:rsidRDefault="00EC3A1F" w:rsidP="00670B73">
      <w:pPr>
        <w:spacing w:line="288" w:lineRule="auto"/>
        <w:jc w:val="both"/>
        <w:rPr>
          <w:lang w:val="af-ZA"/>
        </w:rPr>
      </w:pPr>
      <w:r>
        <w:rPr>
          <w:lang w:val="af-ZA"/>
        </w:rPr>
        <w:t xml:space="preserve">4. </w:t>
      </w:r>
      <w:r w:rsidR="00F50326" w:rsidRPr="00EC3A1F">
        <w:rPr>
          <w:lang w:val="af-ZA"/>
        </w:rPr>
        <w:t>Ohno, Kenichi and Nguyen Van Thuong (2005), Improving Industrial Policy Formulation, Publishing House of Political Theory, Ha Noi.</w:t>
      </w:r>
    </w:p>
    <w:p w14:paraId="0469CD68" w14:textId="176B857D" w:rsidR="00F50326" w:rsidRPr="00EC3A1F" w:rsidRDefault="00EC3A1F" w:rsidP="00670B73">
      <w:pPr>
        <w:spacing w:line="288" w:lineRule="auto"/>
        <w:jc w:val="both"/>
        <w:rPr>
          <w:lang w:val="af-ZA"/>
        </w:rPr>
      </w:pPr>
      <w:r>
        <w:rPr>
          <w:lang w:val="af-ZA"/>
        </w:rPr>
        <w:t xml:space="preserve">5. </w:t>
      </w:r>
      <w:r w:rsidR="00F50326" w:rsidRPr="00EC3A1F">
        <w:rPr>
          <w:lang w:val="af-ZA"/>
        </w:rPr>
        <w:t>Đặng Hùng Võ, Đỗ Đức Đôi (2008), Một số giải pháp nâng cao hiệu quả sử dụng đất trong các KCN ở Việt Nam, Bộ Tài nguyên và Môi trường, Hà Nội.</w:t>
      </w:r>
    </w:p>
    <w:p w14:paraId="7AEAE803" w14:textId="77777777" w:rsidR="00B1409B" w:rsidRPr="00EC3A1F" w:rsidRDefault="00B1409B" w:rsidP="00670B73">
      <w:pPr>
        <w:spacing w:line="288" w:lineRule="auto"/>
        <w:ind w:firstLine="539"/>
        <w:jc w:val="both"/>
        <w:rPr>
          <w:lang w:val="af-ZA"/>
        </w:rPr>
      </w:pPr>
    </w:p>
    <w:p w14:paraId="0C026EAD" w14:textId="28E33B62" w:rsidR="00EC3A1F" w:rsidRDefault="00EC3A1F" w:rsidP="00670B73">
      <w:pPr>
        <w:spacing w:line="288" w:lineRule="auto"/>
        <w:rPr>
          <w:b/>
        </w:rPr>
      </w:pPr>
    </w:p>
    <w:p w14:paraId="057508C2" w14:textId="77777777" w:rsidR="00EC3A1F" w:rsidRDefault="00015589" w:rsidP="00670B73">
      <w:pPr>
        <w:spacing w:line="288" w:lineRule="auto"/>
        <w:jc w:val="center"/>
        <w:rPr>
          <w:b/>
        </w:rPr>
      </w:pPr>
      <w:r w:rsidRPr="00015589">
        <w:rPr>
          <w:b/>
        </w:rPr>
        <w:t>ASSESSMENT OF LAND USE EFFICIENCY</w:t>
      </w:r>
      <w:r>
        <w:rPr>
          <w:b/>
        </w:rPr>
        <w:t xml:space="preserve"> </w:t>
      </w:r>
      <w:r w:rsidR="002D43F9">
        <w:rPr>
          <w:b/>
        </w:rPr>
        <w:t xml:space="preserve">OF BAU XEO INDUSTRIAL PARK </w:t>
      </w:r>
    </w:p>
    <w:p w14:paraId="198AC45E" w14:textId="75DDA854" w:rsidR="00000437" w:rsidRPr="00837F50" w:rsidRDefault="002D43F9" w:rsidP="00670B73">
      <w:pPr>
        <w:spacing w:line="288" w:lineRule="auto"/>
        <w:jc w:val="center"/>
        <w:rPr>
          <w:b/>
        </w:rPr>
      </w:pPr>
      <w:r>
        <w:rPr>
          <w:b/>
        </w:rPr>
        <w:t xml:space="preserve">IN </w:t>
      </w:r>
      <w:r w:rsidR="00015589">
        <w:rPr>
          <w:b/>
        </w:rPr>
        <w:t xml:space="preserve">TRANG BOM DISTRICT, DONG NAI </w:t>
      </w:r>
      <w:r w:rsidR="00B1409B" w:rsidRPr="00837F50">
        <w:rPr>
          <w:b/>
        </w:rPr>
        <w:t>PROVINCE</w:t>
      </w:r>
    </w:p>
    <w:p w14:paraId="5914E4FD" w14:textId="77777777" w:rsidR="00B1409B" w:rsidRPr="00837F50" w:rsidRDefault="00B1409B" w:rsidP="00670B73">
      <w:pPr>
        <w:spacing w:line="288" w:lineRule="auto"/>
        <w:jc w:val="center"/>
        <w:rPr>
          <w:b/>
        </w:rPr>
      </w:pPr>
    </w:p>
    <w:p w14:paraId="0086A942" w14:textId="7B70CC35" w:rsidR="000B6044" w:rsidRDefault="00000437" w:rsidP="00670B73">
      <w:pPr>
        <w:spacing w:line="288" w:lineRule="auto"/>
        <w:jc w:val="both"/>
        <w:rPr>
          <w:color w:val="000000"/>
        </w:rPr>
      </w:pPr>
      <w:r w:rsidRPr="000B6044">
        <w:rPr>
          <w:b/>
        </w:rPr>
        <w:t>Abstract:</w:t>
      </w:r>
      <w:r w:rsidR="00015589" w:rsidRPr="000B6044">
        <w:t xml:space="preserve"> This paper aims to assess the land use efficiency </w:t>
      </w:r>
      <w:r w:rsidR="002D43F9" w:rsidRPr="000B6044">
        <w:t>of</w:t>
      </w:r>
      <w:r w:rsidR="00015589" w:rsidRPr="000B6044">
        <w:t xml:space="preserve"> Bau Xeo Industrial Park (IP)</w:t>
      </w:r>
      <w:r w:rsidR="002D43F9" w:rsidRPr="000B6044">
        <w:t xml:space="preserve"> in </w:t>
      </w:r>
      <w:r w:rsidR="00015589" w:rsidRPr="000B6044">
        <w:t xml:space="preserve">Trang Bom District, Dong Nai Province based on the indicators of economic, social and environmental efficiency </w:t>
      </w:r>
      <w:r w:rsidR="006B5F23">
        <w:t>through</w:t>
      </w:r>
      <w:r w:rsidR="00015589" w:rsidRPr="000B6044">
        <w:t xml:space="preserve"> collecting data and documents relating to the operation of Bau Xeo IP </w:t>
      </w:r>
      <w:r w:rsidR="006B5F23">
        <w:t xml:space="preserve">from 2011 to </w:t>
      </w:r>
      <w:r w:rsidR="00015589" w:rsidRPr="000B6044">
        <w:t>2016.</w:t>
      </w:r>
      <w:r w:rsidR="002D43F9" w:rsidRPr="000B6044">
        <w:t xml:space="preserve"> The research result indicates that the land use efficiency of Bau Xeo IP with total revenue increased from 4,600 billion VND to 15,613 billion VND; the rate of occupancy is over 90% and the contribution to the state budget in 2016 reached 188,156 billion VND. In addition, the Bau Xeo IP has provided jobs to more than 47,049 employees (6</w:t>
      </w:r>
      <w:r w:rsidR="000B6044" w:rsidRPr="000B6044">
        <w:t xml:space="preserve">7% of which are female workers) and increased income with the average salary of 7.0 million VND/person/month. Beside that, the environmental protection </w:t>
      </w:r>
      <w:r w:rsidR="006B5F23">
        <w:t>of</w:t>
      </w:r>
      <w:r w:rsidR="000B6044" w:rsidRPr="000B6044">
        <w:t xml:space="preserve"> Bau Xeo I</w:t>
      </w:r>
      <w:r w:rsidR="006B5F23">
        <w:t>P is</w:t>
      </w:r>
      <w:r w:rsidR="000B6044" w:rsidRPr="000B6044">
        <w:t xml:space="preserve"> always considered by building </w:t>
      </w:r>
      <w:r w:rsidR="006B5F23">
        <w:t>a</w:t>
      </w:r>
      <w:r w:rsidR="006B5F23" w:rsidRPr="006B5F23">
        <w:t xml:space="preserve"> centralized waste </w:t>
      </w:r>
      <w:r w:rsidR="006B5F23">
        <w:t>collection and treatment system f</w:t>
      </w:r>
      <w:r w:rsidR="006B5F23">
        <w:rPr>
          <w:color w:val="000000"/>
        </w:rPr>
        <w:t xml:space="preserve">or </w:t>
      </w:r>
      <w:r w:rsidR="00A55E88">
        <w:t xml:space="preserve">solid waste and </w:t>
      </w:r>
      <w:r w:rsidR="006B5F23" w:rsidRPr="000B6044">
        <w:t>waste</w:t>
      </w:r>
      <w:r w:rsidR="00A55E88">
        <w:t xml:space="preserve"> water</w:t>
      </w:r>
      <w:r w:rsidR="006B5F23">
        <w:t>.</w:t>
      </w:r>
    </w:p>
    <w:p w14:paraId="24984E53" w14:textId="3CB0F2CF" w:rsidR="006B5F23" w:rsidRPr="006B5F23" w:rsidRDefault="006B5F23" w:rsidP="00670B73">
      <w:pPr>
        <w:spacing w:line="288" w:lineRule="auto"/>
        <w:rPr>
          <w:i/>
          <w:color w:val="000000"/>
        </w:rPr>
      </w:pPr>
      <w:r w:rsidRPr="006B5F23">
        <w:rPr>
          <w:b/>
          <w:i/>
          <w:color w:val="000000"/>
        </w:rPr>
        <w:t>Keywords</w:t>
      </w:r>
      <w:r w:rsidRPr="006B5F23">
        <w:rPr>
          <w:i/>
          <w:color w:val="000000"/>
        </w:rPr>
        <w:t xml:space="preserve">: Dong Nai, </w:t>
      </w:r>
      <w:r w:rsidRPr="006B5F23">
        <w:rPr>
          <w:i/>
        </w:rPr>
        <w:t>efficiency, Industrial Park, land use, Bau Xeo.</w:t>
      </w:r>
    </w:p>
    <w:p w14:paraId="50AADB5A" w14:textId="77777777" w:rsidR="00D9487A" w:rsidRPr="00837F50" w:rsidRDefault="00D9487A" w:rsidP="00670B73">
      <w:pPr>
        <w:pStyle w:val="NormalWeb"/>
        <w:spacing w:before="0" w:beforeAutospacing="0" w:after="0" w:afterAutospacing="0" w:line="288" w:lineRule="auto"/>
        <w:rPr>
          <w:color w:val="333333"/>
        </w:rPr>
      </w:pPr>
    </w:p>
    <w:sectPr w:rsidR="00D9487A" w:rsidRPr="00837F50" w:rsidSect="0018758D">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61855"/>
    <w:multiLevelType w:val="hybridMultilevel"/>
    <w:tmpl w:val="6BF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8D"/>
    <w:rsid w:val="00000437"/>
    <w:rsid w:val="00015589"/>
    <w:rsid w:val="0003730F"/>
    <w:rsid w:val="00087C52"/>
    <w:rsid w:val="000B1494"/>
    <w:rsid w:val="000B6044"/>
    <w:rsid w:val="00121937"/>
    <w:rsid w:val="00146322"/>
    <w:rsid w:val="0018758D"/>
    <w:rsid w:val="001B0040"/>
    <w:rsid w:val="00217E00"/>
    <w:rsid w:val="00240E21"/>
    <w:rsid w:val="002C29B3"/>
    <w:rsid w:val="002D43F9"/>
    <w:rsid w:val="002D528C"/>
    <w:rsid w:val="002E5209"/>
    <w:rsid w:val="003160FC"/>
    <w:rsid w:val="003B0824"/>
    <w:rsid w:val="00410AC8"/>
    <w:rsid w:val="00411A30"/>
    <w:rsid w:val="004438E5"/>
    <w:rsid w:val="00447507"/>
    <w:rsid w:val="004767B2"/>
    <w:rsid w:val="004858F3"/>
    <w:rsid w:val="004E5F30"/>
    <w:rsid w:val="004E7798"/>
    <w:rsid w:val="00503C3A"/>
    <w:rsid w:val="00526335"/>
    <w:rsid w:val="00565E39"/>
    <w:rsid w:val="005931D1"/>
    <w:rsid w:val="00596DB7"/>
    <w:rsid w:val="005A4ED4"/>
    <w:rsid w:val="005A6EAF"/>
    <w:rsid w:val="005E6EAC"/>
    <w:rsid w:val="00601D6E"/>
    <w:rsid w:val="00623CC5"/>
    <w:rsid w:val="00667DCB"/>
    <w:rsid w:val="00670B73"/>
    <w:rsid w:val="006910B4"/>
    <w:rsid w:val="006B5F23"/>
    <w:rsid w:val="006F311B"/>
    <w:rsid w:val="00707DDA"/>
    <w:rsid w:val="0073767B"/>
    <w:rsid w:val="007463FD"/>
    <w:rsid w:val="00770A86"/>
    <w:rsid w:val="007A00B6"/>
    <w:rsid w:val="007B12CB"/>
    <w:rsid w:val="007D00B4"/>
    <w:rsid w:val="007F4A21"/>
    <w:rsid w:val="008117F5"/>
    <w:rsid w:val="00837F50"/>
    <w:rsid w:val="00892C92"/>
    <w:rsid w:val="008C3708"/>
    <w:rsid w:val="008D7457"/>
    <w:rsid w:val="00916325"/>
    <w:rsid w:val="00935FE5"/>
    <w:rsid w:val="009965BE"/>
    <w:rsid w:val="009D76D9"/>
    <w:rsid w:val="00A40213"/>
    <w:rsid w:val="00A55E88"/>
    <w:rsid w:val="00A645DB"/>
    <w:rsid w:val="00A81538"/>
    <w:rsid w:val="00A866B2"/>
    <w:rsid w:val="00A86CF8"/>
    <w:rsid w:val="00AC33EF"/>
    <w:rsid w:val="00AF1754"/>
    <w:rsid w:val="00AF2EC3"/>
    <w:rsid w:val="00B120BE"/>
    <w:rsid w:val="00B1409B"/>
    <w:rsid w:val="00BA0852"/>
    <w:rsid w:val="00BE5881"/>
    <w:rsid w:val="00C87F50"/>
    <w:rsid w:val="00C92FAC"/>
    <w:rsid w:val="00CA2E92"/>
    <w:rsid w:val="00CB689C"/>
    <w:rsid w:val="00CF60A1"/>
    <w:rsid w:val="00D06B06"/>
    <w:rsid w:val="00D137E0"/>
    <w:rsid w:val="00D5536E"/>
    <w:rsid w:val="00D9487A"/>
    <w:rsid w:val="00DE18E4"/>
    <w:rsid w:val="00DF4C72"/>
    <w:rsid w:val="00DF6701"/>
    <w:rsid w:val="00E029B5"/>
    <w:rsid w:val="00E31C1F"/>
    <w:rsid w:val="00E47894"/>
    <w:rsid w:val="00E86500"/>
    <w:rsid w:val="00E8656E"/>
    <w:rsid w:val="00EB3044"/>
    <w:rsid w:val="00EC3A1F"/>
    <w:rsid w:val="00EE0383"/>
    <w:rsid w:val="00F50326"/>
    <w:rsid w:val="00F843A3"/>
    <w:rsid w:val="00FA29A2"/>
    <w:rsid w:val="00FC2D4F"/>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80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C8"/>
    <w:rPr>
      <w:rFonts w:ascii="Times New Roman" w:hAnsi="Times New Roman" w:cs="Times New Roman"/>
    </w:rPr>
  </w:style>
  <w:style w:type="paragraph" w:styleId="Heading2">
    <w:name w:val="heading 2"/>
    <w:basedOn w:val="Normal"/>
    <w:link w:val="Heading2Char"/>
    <w:uiPriority w:val="9"/>
    <w:qFormat/>
    <w:rsid w:val="00D948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87A"/>
    <w:pPr>
      <w:spacing w:before="100" w:beforeAutospacing="1" w:after="100" w:afterAutospacing="1"/>
    </w:pPr>
  </w:style>
  <w:style w:type="character" w:styleId="Strong">
    <w:name w:val="Strong"/>
    <w:basedOn w:val="DefaultParagraphFont"/>
    <w:qFormat/>
    <w:rsid w:val="00D9487A"/>
    <w:rPr>
      <w:b/>
      <w:bCs/>
    </w:rPr>
  </w:style>
  <w:style w:type="character" w:customStyle="1" w:styleId="Heading2Char">
    <w:name w:val="Heading 2 Char"/>
    <w:basedOn w:val="DefaultParagraphFont"/>
    <w:link w:val="Heading2"/>
    <w:rsid w:val="00D9487A"/>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D9487A"/>
    <w:rPr>
      <w:rFonts w:eastAsia="Times New Roman"/>
    </w:rPr>
  </w:style>
  <w:style w:type="character" w:customStyle="1" w:styleId="DocumentMapChar">
    <w:name w:val="Document Map Char"/>
    <w:basedOn w:val="DefaultParagraphFont"/>
    <w:link w:val="DocumentMap"/>
    <w:uiPriority w:val="99"/>
    <w:semiHidden/>
    <w:rsid w:val="00D9487A"/>
    <w:rPr>
      <w:rFonts w:ascii="Times New Roman" w:eastAsia="Times New Roman" w:hAnsi="Times New Roman" w:cs="Times New Roman"/>
    </w:rPr>
  </w:style>
  <w:style w:type="paragraph" w:customStyle="1" w:styleId="033">
    <w:name w:val="033"/>
    <w:basedOn w:val="Normal"/>
    <w:qFormat/>
    <w:rsid w:val="007D00B4"/>
    <w:pPr>
      <w:widowControl w:val="0"/>
      <w:spacing w:before="120" w:after="120" w:line="288" w:lineRule="auto"/>
      <w:jc w:val="both"/>
    </w:pPr>
    <w:rPr>
      <w:rFonts w:eastAsia="Times New Roman"/>
      <w:b/>
      <w:sz w:val="26"/>
      <w:szCs w:val="26"/>
      <w:lang w:val="af-ZA"/>
    </w:rPr>
  </w:style>
  <w:style w:type="character" w:customStyle="1" w:styleId="apple-converted-space">
    <w:name w:val="apple-converted-space"/>
    <w:basedOn w:val="DefaultParagraphFont"/>
    <w:rsid w:val="00CB689C"/>
  </w:style>
  <w:style w:type="paragraph" w:styleId="BodyText">
    <w:name w:val="Body Text"/>
    <w:basedOn w:val="Normal"/>
    <w:link w:val="BodyTextChar"/>
    <w:rsid w:val="00CB689C"/>
    <w:rPr>
      <w:rFonts w:ascii=".VnTime" w:eastAsia="Times New Roman" w:hAnsi=".VnTime"/>
      <w:i/>
      <w:sz w:val="28"/>
      <w:szCs w:val="20"/>
    </w:rPr>
  </w:style>
  <w:style w:type="character" w:customStyle="1" w:styleId="BodyTextChar">
    <w:name w:val="Body Text Char"/>
    <w:basedOn w:val="DefaultParagraphFont"/>
    <w:link w:val="BodyText"/>
    <w:rsid w:val="00CB689C"/>
    <w:rPr>
      <w:rFonts w:ascii=".VnTime" w:eastAsia="Times New Roman" w:hAnsi=".VnTime" w:cs="Times New Roman"/>
      <w:i/>
      <w:sz w:val="28"/>
      <w:szCs w:val="20"/>
    </w:rPr>
  </w:style>
  <w:style w:type="paragraph" w:styleId="BodyTextIndent3">
    <w:name w:val="Body Text Indent 3"/>
    <w:basedOn w:val="Normal"/>
    <w:link w:val="BodyTextIndent3Char"/>
    <w:rsid w:val="00CB689C"/>
    <w:pPr>
      <w:spacing w:before="60" w:after="60" w:line="400" w:lineRule="exact"/>
      <w:ind w:firstLine="709"/>
      <w:jc w:val="both"/>
    </w:pPr>
    <w:rPr>
      <w:rFonts w:eastAsia="Times New Roman" w:cs=".VnTime"/>
      <w:sz w:val="30"/>
      <w:szCs w:val="30"/>
    </w:rPr>
  </w:style>
  <w:style w:type="character" w:customStyle="1" w:styleId="BodyTextIndent3Char">
    <w:name w:val="Body Text Indent 3 Char"/>
    <w:basedOn w:val="DefaultParagraphFont"/>
    <w:link w:val="BodyTextIndent3"/>
    <w:rsid w:val="00CB689C"/>
    <w:rPr>
      <w:rFonts w:ascii="Times New Roman" w:eastAsia="Times New Roman" w:hAnsi="Times New Roman" w:cs=".VnTime"/>
      <w:sz w:val="30"/>
      <w:szCs w:val="30"/>
    </w:rPr>
  </w:style>
  <w:style w:type="paragraph" w:customStyle="1" w:styleId="Q">
    <w:name w:val="Q"/>
    <w:basedOn w:val="Normal"/>
    <w:qFormat/>
    <w:rsid w:val="00CB689C"/>
    <w:pPr>
      <w:widowControl w:val="0"/>
      <w:spacing w:before="120" w:after="120" w:line="288" w:lineRule="auto"/>
      <w:jc w:val="center"/>
    </w:pPr>
    <w:rPr>
      <w:rFonts w:eastAsia=".VnTime"/>
      <w:i/>
      <w:sz w:val="26"/>
      <w:szCs w:val="26"/>
    </w:rPr>
  </w:style>
  <w:style w:type="paragraph" w:customStyle="1" w:styleId="1001">
    <w:name w:val="1001"/>
    <w:basedOn w:val="Q"/>
    <w:qFormat/>
    <w:rsid w:val="00CB689C"/>
  </w:style>
  <w:style w:type="paragraph" w:customStyle="1" w:styleId="doanvan">
    <w:name w:val="doanvan"/>
    <w:basedOn w:val="Normal"/>
    <w:link w:val="doanvanChar"/>
    <w:qFormat/>
    <w:rsid w:val="00770A86"/>
    <w:pPr>
      <w:spacing w:before="120" w:after="120" w:line="288" w:lineRule="auto"/>
      <w:ind w:firstLine="539"/>
      <w:jc w:val="both"/>
    </w:pPr>
    <w:rPr>
      <w:rFonts w:eastAsia="Calibri"/>
      <w:sz w:val="26"/>
      <w:szCs w:val="26"/>
      <w:lang w:val="vi-VN"/>
    </w:rPr>
  </w:style>
  <w:style w:type="character" w:customStyle="1" w:styleId="doanvanChar">
    <w:name w:val="doanvan Char"/>
    <w:link w:val="doanvan"/>
    <w:locked/>
    <w:rsid w:val="00770A86"/>
    <w:rPr>
      <w:rFonts w:ascii="Times New Roman" w:eastAsia="Calibri" w:hAnsi="Times New Roman" w:cs="Times New Roman"/>
      <w:sz w:val="26"/>
      <w:szCs w:val="26"/>
      <w:lang w:val="vi-VN"/>
    </w:rPr>
  </w:style>
  <w:style w:type="table" w:styleId="TableGrid">
    <w:name w:val="Table Grid"/>
    <w:basedOn w:val="TableNormal"/>
    <w:rsid w:val="00770A86"/>
    <w:rPr>
      <w:rFonts w:ascii="Arial" w:eastAsia="Calibri"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guon">
    <w:name w:val="nguon"/>
    <w:basedOn w:val="Normal"/>
    <w:link w:val="nguonChar"/>
    <w:qFormat/>
    <w:rsid w:val="00770A86"/>
    <w:pPr>
      <w:widowControl w:val="0"/>
      <w:spacing w:before="120" w:after="120" w:line="288" w:lineRule="auto"/>
      <w:jc w:val="center"/>
    </w:pPr>
    <w:rPr>
      <w:rFonts w:eastAsia="Times New Roman"/>
      <w:i/>
      <w:sz w:val="26"/>
      <w:szCs w:val="26"/>
    </w:rPr>
  </w:style>
  <w:style w:type="character" w:customStyle="1" w:styleId="nguonChar">
    <w:name w:val="nguon Char"/>
    <w:link w:val="nguon"/>
    <w:locked/>
    <w:rsid w:val="00770A86"/>
    <w:rPr>
      <w:rFonts w:ascii="Times New Roman" w:eastAsia="Times New Roman" w:hAnsi="Times New Roman" w:cs="Times New Roman"/>
      <w:i/>
      <w:sz w:val="26"/>
      <w:szCs w:val="26"/>
    </w:rPr>
  </w:style>
  <w:style w:type="paragraph" w:customStyle="1" w:styleId="03HIH">
    <w:name w:val="03 HIH"/>
    <w:basedOn w:val="Normal"/>
    <w:qFormat/>
    <w:rsid w:val="00770A86"/>
    <w:pPr>
      <w:spacing w:before="120" w:after="120" w:line="288" w:lineRule="auto"/>
      <w:jc w:val="center"/>
    </w:pPr>
    <w:rPr>
      <w:rFonts w:eastAsia="Calibri"/>
      <w:i/>
      <w:color w:val="000000" w:themeColor="text1"/>
      <w:sz w:val="26"/>
      <w:szCs w:val="26"/>
      <w:lang w:val="vi-VN"/>
    </w:rPr>
  </w:style>
  <w:style w:type="paragraph" w:customStyle="1" w:styleId="04">
    <w:name w:val="04"/>
    <w:basedOn w:val="Normal"/>
    <w:qFormat/>
    <w:rsid w:val="00770A86"/>
    <w:pPr>
      <w:spacing w:before="120" w:after="120" w:line="288" w:lineRule="auto"/>
      <w:jc w:val="both"/>
    </w:pPr>
    <w:rPr>
      <w:rFonts w:eastAsia="Calibri"/>
      <w:b/>
      <w:i/>
      <w:color w:val="000000" w:themeColor="text1"/>
      <w:sz w:val="26"/>
      <w:szCs w:val="26"/>
      <w:lang w:val="nl-NL"/>
    </w:rPr>
  </w:style>
  <w:style w:type="paragraph" w:customStyle="1" w:styleId="03BAG">
    <w:name w:val="03 BAG"/>
    <w:basedOn w:val="Normal"/>
    <w:qFormat/>
    <w:rsid w:val="00770A86"/>
    <w:pPr>
      <w:spacing w:before="120" w:after="120" w:line="288" w:lineRule="auto"/>
      <w:jc w:val="center"/>
    </w:pPr>
    <w:rPr>
      <w:rFonts w:eastAsia="Calibri"/>
      <w:i/>
      <w:color w:val="000000" w:themeColor="text1"/>
      <w:sz w:val="26"/>
      <w:szCs w:val="26"/>
      <w:lang w:val="vi-VN"/>
    </w:rPr>
  </w:style>
  <w:style w:type="table" w:customStyle="1" w:styleId="TableGrid1">
    <w:name w:val="Table Grid1"/>
    <w:basedOn w:val="TableNormal"/>
    <w:next w:val="TableGrid"/>
    <w:uiPriority w:val="59"/>
    <w:rsid w:val="00770A86"/>
    <w:pPr>
      <w:jc w:val="both"/>
    </w:pPr>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2625">
      <w:bodyDiv w:val="1"/>
      <w:marLeft w:val="0"/>
      <w:marRight w:val="0"/>
      <w:marTop w:val="0"/>
      <w:marBottom w:val="0"/>
      <w:divBdr>
        <w:top w:val="none" w:sz="0" w:space="0" w:color="auto"/>
        <w:left w:val="none" w:sz="0" w:space="0" w:color="auto"/>
        <w:bottom w:val="none" w:sz="0" w:space="0" w:color="auto"/>
        <w:right w:val="none" w:sz="0" w:space="0" w:color="auto"/>
      </w:divBdr>
    </w:div>
    <w:div w:id="386683830">
      <w:bodyDiv w:val="1"/>
      <w:marLeft w:val="0"/>
      <w:marRight w:val="0"/>
      <w:marTop w:val="0"/>
      <w:marBottom w:val="0"/>
      <w:divBdr>
        <w:top w:val="none" w:sz="0" w:space="0" w:color="auto"/>
        <w:left w:val="none" w:sz="0" w:space="0" w:color="auto"/>
        <w:bottom w:val="none" w:sz="0" w:space="0" w:color="auto"/>
        <w:right w:val="none" w:sz="0" w:space="0" w:color="auto"/>
      </w:divBdr>
    </w:div>
    <w:div w:id="486744924">
      <w:bodyDiv w:val="1"/>
      <w:marLeft w:val="0"/>
      <w:marRight w:val="0"/>
      <w:marTop w:val="0"/>
      <w:marBottom w:val="0"/>
      <w:divBdr>
        <w:top w:val="none" w:sz="0" w:space="0" w:color="auto"/>
        <w:left w:val="none" w:sz="0" w:space="0" w:color="auto"/>
        <w:bottom w:val="none" w:sz="0" w:space="0" w:color="auto"/>
        <w:right w:val="none" w:sz="0" w:space="0" w:color="auto"/>
      </w:divBdr>
    </w:div>
    <w:div w:id="1014502789">
      <w:bodyDiv w:val="1"/>
      <w:marLeft w:val="0"/>
      <w:marRight w:val="0"/>
      <w:marTop w:val="0"/>
      <w:marBottom w:val="0"/>
      <w:divBdr>
        <w:top w:val="none" w:sz="0" w:space="0" w:color="auto"/>
        <w:left w:val="none" w:sz="0" w:space="0" w:color="auto"/>
        <w:bottom w:val="none" w:sz="0" w:space="0" w:color="auto"/>
        <w:right w:val="none" w:sz="0" w:space="0" w:color="auto"/>
      </w:divBdr>
    </w:div>
    <w:div w:id="1222516608">
      <w:bodyDiv w:val="1"/>
      <w:marLeft w:val="0"/>
      <w:marRight w:val="0"/>
      <w:marTop w:val="0"/>
      <w:marBottom w:val="0"/>
      <w:divBdr>
        <w:top w:val="none" w:sz="0" w:space="0" w:color="auto"/>
        <w:left w:val="none" w:sz="0" w:space="0" w:color="auto"/>
        <w:bottom w:val="none" w:sz="0" w:space="0" w:color="auto"/>
        <w:right w:val="none" w:sz="0" w:space="0" w:color="auto"/>
      </w:divBdr>
    </w:div>
    <w:div w:id="1405953210">
      <w:bodyDiv w:val="1"/>
      <w:marLeft w:val="0"/>
      <w:marRight w:val="0"/>
      <w:marTop w:val="0"/>
      <w:marBottom w:val="0"/>
      <w:divBdr>
        <w:top w:val="none" w:sz="0" w:space="0" w:color="auto"/>
        <w:left w:val="none" w:sz="0" w:space="0" w:color="auto"/>
        <w:bottom w:val="none" w:sz="0" w:space="0" w:color="auto"/>
        <w:right w:val="none" w:sz="0" w:space="0" w:color="auto"/>
      </w:divBdr>
    </w:div>
    <w:div w:id="1685207125">
      <w:bodyDiv w:val="1"/>
      <w:marLeft w:val="0"/>
      <w:marRight w:val="0"/>
      <w:marTop w:val="0"/>
      <w:marBottom w:val="0"/>
      <w:divBdr>
        <w:top w:val="none" w:sz="0" w:space="0" w:color="auto"/>
        <w:left w:val="none" w:sz="0" w:space="0" w:color="auto"/>
        <w:bottom w:val="none" w:sz="0" w:space="0" w:color="auto"/>
        <w:right w:val="none" w:sz="0" w:space="0" w:color="auto"/>
      </w:divBdr>
    </w:div>
    <w:div w:id="1693460405">
      <w:bodyDiv w:val="1"/>
      <w:marLeft w:val="0"/>
      <w:marRight w:val="0"/>
      <w:marTop w:val="0"/>
      <w:marBottom w:val="0"/>
      <w:divBdr>
        <w:top w:val="none" w:sz="0" w:space="0" w:color="auto"/>
        <w:left w:val="none" w:sz="0" w:space="0" w:color="auto"/>
        <w:bottom w:val="none" w:sz="0" w:space="0" w:color="auto"/>
        <w:right w:val="none" w:sz="0" w:space="0" w:color="auto"/>
      </w:divBdr>
    </w:div>
    <w:div w:id="1751124255">
      <w:bodyDiv w:val="1"/>
      <w:marLeft w:val="0"/>
      <w:marRight w:val="0"/>
      <w:marTop w:val="0"/>
      <w:marBottom w:val="0"/>
      <w:divBdr>
        <w:top w:val="none" w:sz="0" w:space="0" w:color="auto"/>
        <w:left w:val="none" w:sz="0" w:space="0" w:color="auto"/>
        <w:bottom w:val="none" w:sz="0" w:space="0" w:color="auto"/>
        <w:right w:val="none" w:sz="0" w:space="0" w:color="auto"/>
      </w:divBdr>
    </w:div>
    <w:div w:id="1813331699">
      <w:bodyDiv w:val="1"/>
      <w:marLeft w:val="0"/>
      <w:marRight w:val="0"/>
      <w:marTop w:val="0"/>
      <w:marBottom w:val="0"/>
      <w:divBdr>
        <w:top w:val="none" w:sz="0" w:space="0" w:color="auto"/>
        <w:left w:val="none" w:sz="0" w:space="0" w:color="auto"/>
        <w:bottom w:val="none" w:sz="0" w:space="0" w:color="auto"/>
        <w:right w:val="none" w:sz="0" w:space="0" w:color="auto"/>
      </w:divBdr>
    </w:div>
    <w:div w:id="2023362295">
      <w:bodyDiv w:val="1"/>
      <w:marLeft w:val="0"/>
      <w:marRight w:val="0"/>
      <w:marTop w:val="0"/>
      <w:marBottom w:val="0"/>
      <w:divBdr>
        <w:top w:val="none" w:sz="0" w:space="0" w:color="auto"/>
        <w:left w:val="none" w:sz="0" w:space="0" w:color="auto"/>
        <w:bottom w:val="none" w:sz="0" w:space="0" w:color="auto"/>
        <w:right w:val="none" w:sz="0" w:space="0" w:color="auto"/>
      </w:divBdr>
    </w:div>
    <w:div w:id="2046513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Sheet1!$C$1</c:f>
              <c:strCache>
                <c:ptCount val="1"/>
                <c:pt idx="0">
                  <c:v>Diện tích đất công nghiệp đã cho thuê (ha)</c:v>
                </c:pt>
              </c:strCache>
            </c:strRef>
          </c:tx>
          <c:spPr>
            <a:pattFill prst="ltDnDiag">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Sheet1!$C$2:$C$7</c:f>
              <c:numCache>
                <c:formatCode>General</c:formatCode>
                <c:ptCount val="6"/>
                <c:pt idx="0">
                  <c:v>303.42</c:v>
                </c:pt>
                <c:pt idx="1">
                  <c:v>303.42</c:v>
                </c:pt>
                <c:pt idx="2">
                  <c:v>308.53</c:v>
                </c:pt>
                <c:pt idx="3">
                  <c:v>314.53</c:v>
                </c:pt>
                <c:pt idx="4">
                  <c:v>318.19</c:v>
                </c:pt>
                <c:pt idx="5">
                  <c:v>321.85</c:v>
                </c:pt>
              </c:numCache>
            </c:numRef>
          </c:val>
        </c:ser>
        <c:dLbls>
          <c:showLegendKey val="0"/>
          <c:showVal val="0"/>
          <c:showCatName val="0"/>
          <c:showSerName val="0"/>
          <c:showPercent val="0"/>
          <c:showBubbleSize val="0"/>
        </c:dLbls>
        <c:gapWidth val="219"/>
        <c:overlap val="-27"/>
        <c:axId val="-2057013152"/>
        <c:axId val="-2061441744"/>
      </c:barChart>
      <c:lineChart>
        <c:grouping val="standard"/>
        <c:varyColors val="0"/>
        <c:ser>
          <c:idx val="2"/>
          <c:order val="1"/>
          <c:tx>
            <c:strRef>
              <c:f>Sheet1!$D$1</c:f>
              <c:strCache>
                <c:ptCount val="1"/>
                <c:pt idx="0">
                  <c:v>Tỷ lệ lấp đầy (%)</c:v>
                </c:pt>
              </c:strCache>
            </c:strRef>
          </c:tx>
          <c:spPr>
            <a:ln w="12700" cap="rnd">
              <a:solidFill>
                <a:schemeClr val="tx1">
                  <a:lumMod val="50000"/>
                  <a:lumOff val="50000"/>
                </a:schemeClr>
              </a:solidFill>
              <a:round/>
            </a:ln>
            <a:effectLst/>
          </c:spPr>
          <c:marker>
            <c:symbol val="none"/>
          </c:marker>
          <c:dLbls>
            <c:dLbl>
              <c:idx val="0"/>
              <c:layout>
                <c:manualLayout>
                  <c:x val="0.00569232958588302"/>
                  <c:y val="0.03273322422258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7076988757649"/>
                  <c:y val="-0.00467617488894093"/>
                </c:manualLayout>
              </c:layout>
              <c:showLegendKey val="0"/>
              <c:showVal val="1"/>
              <c:showCatName val="0"/>
              <c:showSerName val="0"/>
              <c:showPercent val="0"/>
              <c:showBubbleSize val="0"/>
              <c:extLst>
                <c:ext xmlns:c15="http://schemas.microsoft.com/office/drawing/2012/chart" uri="{CE6537A1-D6FC-4f65-9D91-7224C49458BB}"/>
              </c:extLst>
            </c:dLbl>
            <c:dLbl>
              <c:idx val="3"/>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4"/>
              <c:layout>
                <c:manualLayout>
                  <c:x val="0.00284616479294141"/>
                  <c:y val="0.023380874444704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078177647745648"/>
                  <c:y val="0.020828493001386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Sheet1!$D$2:$D$7</c:f>
              <c:numCache>
                <c:formatCode>General</c:formatCode>
                <c:ptCount val="6"/>
                <c:pt idx="0">
                  <c:v>85.74</c:v>
                </c:pt>
                <c:pt idx="1">
                  <c:v>85.74</c:v>
                </c:pt>
                <c:pt idx="2">
                  <c:v>87.18000000000001</c:v>
                </c:pt>
                <c:pt idx="3">
                  <c:v>88.88</c:v>
                </c:pt>
                <c:pt idx="4">
                  <c:v>89.91</c:v>
                </c:pt>
                <c:pt idx="5">
                  <c:v>90.95</c:v>
                </c:pt>
              </c:numCache>
            </c:numRef>
          </c:val>
          <c:smooth val="0"/>
        </c:ser>
        <c:dLbls>
          <c:showLegendKey val="0"/>
          <c:showVal val="0"/>
          <c:showCatName val="0"/>
          <c:showSerName val="0"/>
          <c:showPercent val="0"/>
          <c:showBubbleSize val="0"/>
        </c:dLbls>
        <c:marker val="1"/>
        <c:smooth val="0"/>
        <c:axId val="-2056738848"/>
        <c:axId val="-2045646576"/>
      </c:lineChart>
      <c:catAx>
        <c:axId val="-205701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1441744"/>
        <c:crosses val="autoZero"/>
        <c:auto val="1"/>
        <c:lblAlgn val="ctr"/>
        <c:lblOffset val="100"/>
        <c:noMultiLvlLbl val="0"/>
      </c:catAx>
      <c:valAx>
        <c:axId val="-206144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7013152"/>
        <c:crosses val="autoZero"/>
        <c:crossBetween val="between"/>
      </c:valAx>
      <c:valAx>
        <c:axId val="-20456465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6738848"/>
        <c:crosses val="max"/>
        <c:crossBetween val="between"/>
      </c:valAx>
      <c:catAx>
        <c:axId val="-2056738848"/>
        <c:scaling>
          <c:orientation val="minMax"/>
        </c:scaling>
        <c:delete val="1"/>
        <c:axPos val="b"/>
        <c:numFmt formatCode="General" sourceLinked="1"/>
        <c:majorTickMark val="out"/>
        <c:minorTickMark val="none"/>
        <c:tickLblPos val="nextTo"/>
        <c:crossAx val="-2045646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Doanh thu (Tỷ đồng)</c:v>
                </c:pt>
              </c:strCache>
            </c:strRef>
          </c:tx>
          <c:spPr>
            <a:pattFill prst="ltDnDiag">
              <a:fgClr>
                <a:schemeClr val="tx1"/>
              </a:fgClr>
              <a:bgClr>
                <a:schemeClr val="bg1"/>
              </a:bgClr>
            </a:patt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Sheet1!$B$2:$B$7</c:f>
              <c:numCache>
                <c:formatCode>General</c:formatCode>
                <c:ptCount val="6"/>
                <c:pt idx="0">
                  <c:v>4600.2</c:v>
                </c:pt>
                <c:pt idx="1">
                  <c:v>5786.0</c:v>
                </c:pt>
                <c:pt idx="2">
                  <c:v>7812.2</c:v>
                </c:pt>
                <c:pt idx="3">
                  <c:v>9479.799999999987</c:v>
                </c:pt>
                <c:pt idx="4">
                  <c:v>13570.6</c:v>
                </c:pt>
                <c:pt idx="5">
                  <c:v>15612.8</c:v>
                </c:pt>
              </c:numCache>
            </c:numRef>
          </c:val>
        </c:ser>
        <c:dLbls>
          <c:showLegendKey val="0"/>
          <c:showVal val="0"/>
          <c:showCatName val="0"/>
          <c:showSerName val="0"/>
          <c:showPercent val="0"/>
          <c:showBubbleSize val="0"/>
        </c:dLbls>
        <c:gapWidth val="219"/>
        <c:overlap val="-27"/>
        <c:axId val="2128808016"/>
        <c:axId val="-2056482272"/>
      </c:barChart>
      <c:lineChart>
        <c:grouping val="standard"/>
        <c:varyColors val="0"/>
        <c:ser>
          <c:idx val="1"/>
          <c:order val="1"/>
          <c:tx>
            <c:strRef>
              <c:f>Sheet1!$C$1</c:f>
              <c:strCache>
                <c:ptCount val="1"/>
                <c:pt idx="0">
                  <c:v>Hiệu quả (Tỷ đồng/ha)</c:v>
                </c:pt>
              </c:strCache>
            </c:strRef>
          </c:tx>
          <c:spPr>
            <a:ln w="19050" cap="rnd">
              <a:solidFill>
                <a:schemeClr val="tx1">
                  <a:lumMod val="50000"/>
                  <a:lumOff val="50000"/>
                </a:schemeClr>
              </a:solidFill>
              <a:round/>
            </a:ln>
            <a:effectLst/>
          </c:spPr>
          <c:marker>
            <c:symbol val="none"/>
          </c:marker>
          <c:dLbls>
            <c:dLbl>
              <c:idx val="0"/>
              <c:layout>
                <c:manualLayout>
                  <c:x val="0.00779119594857813"/>
                  <c:y val="0.04881620698071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77911959485781"/>
                  <c:y val="0.048816206980717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77911959485781"/>
                  <c:y val="0.034171344886502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0245670065102567"/>
                  <c:y val="0.0048816206980717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0245670065102567"/>
                  <c:y val="0.014644862094215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129853265809635"/>
                  <c:y val="0.039052965584574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Sheet1!$C$2:$C$7</c:f>
              <c:numCache>
                <c:formatCode>General</c:formatCode>
                <c:ptCount val="6"/>
                <c:pt idx="0">
                  <c:v>15.161</c:v>
                </c:pt>
                <c:pt idx="1">
                  <c:v>19.069</c:v>
                </c:pt>
                <c:pt idx="2">
                  <c:v>25.32</c:v>
                </c:pt>
                <c:pt idx="3">
                  <c:v>30.113</c:v>
                </c:pt>
                <c:pt idx="4">
                  <c:v>42.516</c:v>
                </c:pt>
                <c:pt idx="5">
                  <c:v>48.509</c:v>
                </c:pt>
              </c:numCache>
            </c:numRef>
          </c:val>
          <c:smooth val="0"/>
        </c:ser>
        <c:dLbls>
          <c:showLegendKey val="0"/>
          <c:showVal val="0"/>
          <c:showCatName val="0"/>
          <c:showSerName val="0"/>
          <c:showPercent val="0"/>
          <c:showBubbleSize val="0"/>
        </c:dLbls>
        <c:marker val="1"/>
        <c:smooth val="0"/>
        <c:axId val="-2058492640"/>
        <c:axId val="-2046342400"/>
      </c:lineChart>
      <c:catAx>
        <c:axId val="212880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482272"/>
        <c:crosses val="autoZero"/>
        <c:auto val="1"/>
        <c:lblAlgn val="ctr"/>
        <c:lblOffset val="100"/>
        <c:noMultiLvlLbl val="0"/>
      </c:catAx>
      <c:valAx>
        <c:axId val="-205648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28808016"/>
        <c:crosses val="autoZero"/>
        <c:crossBetween val="between"/>
      </c:valAx>
      <c:valAx>
        <c:axId val="-20463424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8492640"/>
        <c:crosses val="max"/>
        <c:crossBetween val="between"/>
      </c:valAx>
      <c:catAx>
        <c:axId val="-2058492640"/>
        <c:scaling>
          <c:orientation val="minMax"/>
        </c:scaling>
        <c:delete val="1"/>
        <c:axPos val="b"/>
        <c:numFmt formatCode="General" sourceLinked="1"/>
        <c:majorTickMark val="out"/>
        <c:minorTickMark val="none"/>
        <c:tickLblPos val="nextTo"/>
        <c:crossAx val="-20463424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Lợi nhuận sau thuế (Tỷ đồng)</c:v>
                </c:pt>
              </c:strCache>
            </c:strRef>
          </c:tx>
          <c:spPr>
            <a:pattFill prst="ltDnDiag">
              <a:fgClr>
                <a:schemeClr val="tx1"/>
              </a:fgClr>
              <a:bgClr>
                <a:schemeClr val="bg1"/>
              </a:bgClr>
            </a:patt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Sheet1!$B$2:$B$7</c:f>
              <c:numCache>
                <c:formatCode>General</c:formatCode>
                <c:ptCount val="6"/>
                <c:pt idx="0">
                  <c:v>160.0</c:v>
                </c:pt>
                <c:pt idx="1">
                  <c:v>164.0</c:v>
                </c:pt>
                <c:pt idx="2">
                  <c:v>228.28</c:v>
                </c:pt>
                <c:pt idx="3">
                  <c:v>239.96</c:v>
                </c:pt>
                <c:pt idx="4">
                  <c:v>309.6</c:v>
                </c:pt>
                <c:pt idx="5">
                  <c:v>439.0</c:v>
                </c:pt>
              </c:numCache>
            </c:numRef>
          </c:val>
        </c:ser>
        <c:dLbls>
          <c:showLegendKey val="0"/>
          <c:showVal val="0"/>
          <c:showCatName val="0"/>
          <c:showSerName val="0"/>
          <c:showPercent val="0"/>
          <c:showBubbleSize val="0"/>
        </c:dLbls>
        <c:gapWidth val="219"/>
        <c:overlap val="-27"/>
        <c:axId val="-2058720016"/>
        <c:axId val="-2062332768"/>
      </c:barChart>
      <c:lineChart>
        <c:grouping val="standard"/>
        <c:varyColors val="0"/>
        <c:ser>
          <c:idx val="1"/>
          <c:order val="1"/>
          <c:tx>
            <c:strRef>
              <c:f>Sheet1!$C$1</c:f>
              <c:strCache>
                <c:ptCount val="1"/>
                <c:pt idx="0">
                  <c:v>Hiệu quả SDĐ (Tỷ đồng/ha)</c:v>
                </c:pt>
              </c:strCache>
            </c:strRef>
          </c:tx>
          <c:spPr>
            <a:ln w="19050" cap="rnd">
              <a:solidFill>
                <a:schemeClr val="tx1">
                  <a:lumMod val="50000"/>
                  <a:lumOff val="50000"/>
                </a:schemeClr>
              </a:solidFill>
              <a:round/>
            </a:ln>
            <a:effectLst/>
          </c:spPr>
          <c:marker>
            <c:symbol val="none"/>
          </c:marker>
          <c:dLbls>
            <c:dLbl>
              <c:idx val="0"/>
              <c:layout>
                <c:manualLayout>
                  <c:x val="-0.00813338755591704"/>
                  <c:y val="0.083725798011512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89779042971398"/>
                  <c:y val="0.041862899005756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216890334824453"/>
                  <c:y val="0.036630036630036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0271112918530568"/>
                  <c:y val="0.047095761381475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Sheet1!$C$2:$C$7</c:f>
              <c:numCache>
                <c:formatCode>General</c:formatCode>
                <c:ptCount val="6"/>
                <c:pt idx="0">
                  <c:v>0.5273</c:v>
                </c:pt>
                <c:pt idx="1">
                  <c:v>0.5405</c:v>
                </c:pt>
                <c:pt idx="2">
                  <c:v>0.7399</c:v>
                </c:pt>
                <c:pt idx="3">
                  <c:v>0.7629</c:v>
                </c:pt>
                <c:pt idx="4">
                  <c:v>0.9699</c:v>
                </c:pt>
                <c:pt idx="5">
                  <c:v>1.364</c:v>
                </c:pt>
              </c:numCache>
            </c:numRef>
          </c:val>
          <c:smooth val="0"/>
        </c:ser>
        <c:dLbls>
          <c:showLegendKey val="0"/>
          <c:showVal val="0"/>
          <c:showCatName val="0"/>
          <c:showSerName val="0"/>
          <c:showPercent val="0"/>
          <c:showBubbleSize val="0"/>
        </c:dLbls>
        <c:marker val="1"/>
        <c:smooth val="0"/>
        <c:axId val="-2059053824"/>
        <c:axId val="-2046512896"/>
      </c:lineChart>
      <c:catAx>
        <c:axId val="-205872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62332768"/>
        <c:crosses val="autoZero"/>
        <c:auto val="1"/>
        <c:lblAlgn val="ctr"/>
        <c:lblOffset val="100"/>
        <c:noMultiLvlLbl val="0"/>
      </c:catAx>
      <c:valAx>
        <c:axId val="-206233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8720016"/>
        <c:crosses val="autoZero"/>
        <c:crossBetween val="between"/>
      </c:valAx>
      <c:valAx>
        <c:axId val="-204651289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9053824"/>
        <c:crosses val="max"/>
        <c:crossBetween val="between"/>
      </c:valAx>
      <c:catAx>
        <c:axId val="-2059053824"/>
        <c:scaling>
          <c:orientation val="minMax"/>
        </c:scaling>
        <c:delete val="1"/>
        <c:axPos val="b"/>
        <c:numFmt formatCode="General" sourceLinked="1"/>
        <c:majorTickMark val="out"/>
        <c:minorTickMark val="none"/>
        <c:tickLblPos val="nextTo"/>
        <c:crossAx val="-2046512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Giá trị nộp ngân sách (Tỷ đồng)</c:v>
                </c:pt>
              </c:strCache>
            </c:strRef>
          </c:tx>
          <c:spPr>
            <a:pattFill prst="ltDnDiag">
              <a:fgClr>
                <a:schemeClr val="tx1"/>
              </a:fgClr>
              <a:bgClr>
                <a:schemeClr val="bg1"/>
              </a:bgClr>
            </a:patt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2011.0</c:v>
                </c:pt>
                <c:pt idx="1">
                  <c:v>2012.0</c:v>
                </c:pt>
                <c:pt idx="2">
                  <c:v>2013.0</c:v>
                </c:pt>
                <c:pt idx="3">
                  <c:v>2014.0</c:v>
                </c:pt>
                <c:pt idx="4">
                  <c:v>2015.0</c:v>
                </c:pt>
                <c:pt idx="5">
                  <c:v>2016.0</c:v>
                </c:pt>
              </c:numCache>
            </c:numRef>
          </c:cat>
          <c:val>
            <c:numRef>
              <c:f>Sheet1!$B$2:$B$7</c:f>
              <c:numCache>
                <c:formatCode>General</c:formatCode>
                <c:ptCount val="6"/>
                <c:pt idx="0">
                  <c:v>9.0552</c:v>
                </c:pt>
                <c:pt idx="1">
                  <c:v>9.9976</c:v>
                </c:pt>
                <c:pt idx="2">
                  <c:v>15.633</c:v>
                </c:pt>
                <c:pt idx="3">
                  <c:v>38.1908</c:v>
                </c:pt>
                <c:pt idx="4">
                  <c:v>156.5346</c:v>
                </c:pt>
                <c:pt idx="5">
                  <c:v>188.1566</c:v>
                </c:pt>
              </c:numCache>
            </c:numRef>
          </c:val>
        </c:ser>
        <c:dLbls>
          <c:showLegendKey val="0"/>
          <c:showVal val="0"/>
          <c:showCatName val="0"/>
          <c:showSerName val="0"/>
          <c:showPercent val="0"/>
          <c:showBubbleSize val="0"/>
        </c:dLbls>
        <c:gapWidth val="219"/>
        <c:overlap val="-27"/>
        <c:axId val="-2058478544"/>
        <c:axId val="-2058026128"/>
      </c:barChart>
      <c:catAx>
        <c:axId val="-205847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8026128"/>
        <c:crosses val="autoZero"/>
        <c:auto val="1"/>
        <c:lblAlgn val="ctr"/>
        <c:lblOffset val="100"/>
        <c:noMultiLvlLbl val="0"/>
      </c:catAx>
      <c:valAx>
        <c:axId val="-205802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847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Tổng số lao động </c:v>
                </c:pt>
              </c:strCache>
            </c:strRef>
          </c:tx>
          <c:spPr>
            <a:pattFill prst="pct5">
              <a:fgClr>
                <a:schemeClr val="tx1"/>
              </a:fgClr>
              <a:bgClr>
                <a:schemeClr val="bg1"/>
              </a:bgClr>
            </a:patt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Sheet1!$B$2:$B$3</c:f>
              <c:numCache>
                <c:formatCode>General</c:formatCode>
                <c:ptCount val="2"/>
                <c:pt idx="0" formatCode="#,##0">
                  <c:v>47049.0</c:v>
                </c:pt>
              </c:numCache>
            </c:numRef>
          </c:val>
        </c:ser>
        <c:ser>
          <c:idx val="1"/>
          <c:order val="1"/>
          <c:tx>
            <c:strRef>
              <c:f>Sheet1!$C$1</c:f>
              <c:strCache>
                <c:ptCount val="1"/>
                <c:pt idx="0">
                  <c:v>Lao động nữ</c:v>
                </c:pt>
              </c:strCache>
            </c:strRef>
          </c:tx>
          <c:spPr>
            <a:pattFill prst="pct25">
              <a:fgClr>
                <a:schemeClr val="tx1"/>
              </a:fgClr>
              <a:bgClr>
                <a:schemeClr val="bg1"/>
              </a:bgClr>
            </a:pattFill>
            <a:ln>
              <a:solidFill>
                <a:schemeClr val="tx1">
                  <a:lumMod val="50000"/>
                  <a:lumOff val="50000"/>
                </a:schemeClr>
              </a:solidFill>
            </a:ln>
            <a:effectLst/>
          </c:spPr>
          <c:invertIfNegative val="0"/>
          <c:dLbls>
            <c:dLbl>
              <c:idx val="0"/>
              <c:layout>
                <c:manualLayout>
                  <c:x val="0.0249376558603491"/>
                  <c:y val="-4.0363543697817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Sheet1!$C$2:$C$3</c:f>
              <c:numCache>
                <c:formatCode>General</c:formatCode>
                <c:ptCount val="2"/>
                <c:pt idx="0" formatCode="#,##0">
                  <c:v>31923.0</c:v>
                </c:pt>
              </c:numCache>
            </c:numRef>
          </c:val>
        </c:ser>
        <c:ser>
          <c:idx val="2"/>
          <c:order val="2"/>
          <c:tx>
            <c:strRef>
              <c:f>Sheet1!$D$1</c:f>
              <c:strCache>
                <c:ptCount val="1"/>
                <c:pt idx="0">
                  <c:v>Lao động phổ thông</c:v>
                </c:pt>
              </c:strCache>
            </c:strRef>
          </c:tx>
          <c:spPr>
            <a:pattFill prst="pct20">
              <a:fgClr>
                <a:schemeClr val="tx1"/>
              </a:fgClr>
              <a:bgClr>
                <a:schemeClr val="bg1"/>
              </a:bgClr>
            </a:pattFill>
            <a:ln>
              <a:solidFill>
                <a:schemeClr val="tx1">
                  <a:lumMod val="50000"/>
                  <a:lumOff val="50000"/>
                </a:schemeClr>
              </a:solidFill>
            </a:ln>
            <a:effectLst/>
          </c:spPr>
          <c:invertIfNegative val="0"/>
          <c:dLbls>
            <c:dLbl>
              <c:idx val="0"/>
              <c:layout>
                <c:manualLayout>
                  <c:x val="0.0272047154840172"/>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Sheet1!$D$2:$D$3</c:f>
              <c:numCache>
                <c:formatCode>General</c:formatCode>
                <c:ptCount val="2"/>
                <c:pt idx="0" formatCode="#,##0">
                  <c:v>28188.0</c:v>
                </c:pt>
              </c:numCache>
            </c:numRef>
          </c:val>
        </c:ser>
        <c:ser>
          <c:idx val="3"/>
          <c:order val="3"/>
          <c:tx>
            <c:strRef>
              <c:f>Sheet1!$E$1</c:f>
              <c:strCache>
                <c:ptCount val="1"/>
                <c:pt idx="0">
                  <c:v>Lao động đã qua đào tạo</c:v>
                </c:pt>
              </c:strCache>
            </c:strRef>
          </c:tx>
          <c:spPr>
            <a:pattFill prst="ltDnDiag">
              <a:fgClr>
                <a:schemeClr val="tx1"/>
              </a:fgClr>
              <a:bgClr>
                <a:schemeClr val="bg1"/>
              </a:bgClr>
            </a:pattFill>
            <a:ln>
              <a:solidFill>
                <a:schemeClr val="tx1">
                  <a:lumMod val="50000"/>
                  <a:lumOff val="50000"/>
                </a:schemeClr>
              </a:solidFill>
            </a:ln>
            <a:effectLst/>
          </c:spPr>
          <c:invertIfNegative val="0"/>
          <c:dLbls>
            <c:dLbl>
              <c:idx val="0"/>
              <c:layout>
                <c:manualLayout>
                  <c:x val="0.0272047154840172"/>
                  <c:y val="0.026420079260237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Sheet1!$E$2:$E$3</c:f>
              <c:numCache>
                <c:formatCode>General</c:formatCode>
                <c:ptCount val="2"/>
                <c:pt idx="0" formatCode="#,##0">
                  <c:v>17497.0</c:v>
                </c:pt>
              </c:numCache>
            </c:numRef>
          </c:val>
        </c:ser>
        <c:ser>
          <c:idx val="4"/>
          <c:order val="4"/>
          <c:tx>
            <c:strRef>
              <c:f>Sheet1!$F$1</c:f>
              <c:strCache>
                <c:ptCount val="1"/>
                <c:pt idx="0">
                  <c:v>Kỹ sư/nhân viên văn phòng</c:v>
                </c:pt>
              </c:strCache>
            </c:strRef>
          </c:tx>
          <c:spPr>
            <a:pattFill prst="divot">
              <a:fgClr>
                <a:schemeClr val="tx1"/>
              </a:fgClr>
              <a:bgClr>
                <a:schemeClr val="bg1"/>
              </a:bgClr>
            </a:pattFill>
            <a:ln>
              <a:solidFill>
                <a:schemeClr val="tx1">
                  <a:lumMod val="50000"/>
                  <a:lumOff val="50000"/>
                </a:schemeClr>
              </a:solidFill>
            </a:ln>
            <a:effectLst/>
          </c:spPr>
          <c:invertIfNegative val="0"/>
          <c:dLbls>
            <c:dLbl>
              <c:idx val="0"/>
              <c:layout>
                <c:manualLayout>
                  <c:x val="0.0045341192473362"/>
                  <c:y val="0.008806693086745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Sheet1!$F$2:$F$3</c:f>
              <c:numCache>
                <c:formatCode>General</c:formatCode>
                <c:ptCount val="2"/>
                <c:pt idx="0" formatCode="#,##0">
                  <c:v>1364.0</c:v>
                </c:pt>
              </c:numCache>
            </c:numRef>
          </c:val>
        </c:ser>
        <c:ser>
          <c:idx val="5"/>
          <c:order val="5"/>
          <c:tx>
            <c:strRef>
              <c:f>Sheet1!$G$1</c:f>
              <c:strCache>
                <c:ptCount val="1"/>
                <c:pt idx="0">
                  <c:v>Lương tối thiểu</c:v>
                </c:pt>
              </c:strCache>
            </c:strRef>
          </c:tx>
          <c:spPr>
            <a:pattFill prst="pct60">
              <a:fgClr>
                <a:sysClr val="windowText" lastClr="000000"/>
              </a:fgClr>
              <a:bgClr>
                <a:schemeClr val="bg1"/>
              </a:bgClr>
            </a:pattFill>
            <a:ln>
              <a:solidFill>
                <a:schemeClr val="tx1">
                  <a:lumMod val="50000"/>
                  <a:lumOff val="50000"/>
                </a:schemeClr>
              </a:solidFill>
            </a:ln>
            <a:effectLst/>
          </c:spPr>
          <c:invertIfNegative val="0"/>
          <c:dLbls>
            <c:dLbl>
              <c:idx val="1"/>
              <c:layout>
                <c:manualLayout>
                  <c:x val="-0.00906823849467257"/>
                  <c:y val="0.026420079260237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Sheet1!$G$2:$G$3</c:f>
              <c:numCache>
                <c:formatCode>General</c:formatCode>
                <c:ptCount val="2"/>
                <c:pt idx="1">
                  <c:v>4000.0</c:v>
                </c:pt>
              </c:numCache>
            </c:numRef>
          </c:val>
        </c:ser>
        <c:ser>
          <c:idx val="6"/>
          <c:order val="6"/>
          <c:tx>
            <c:strRef>
              <c:f>Sheet1!$H$1</c:f>
              <c:strCache>
                <c:ptCount val="1"/>
                <c:pt idx="0">
                  <c:v>Lao động phổ thông </c:v>
                </c:pt>
              </c:strCache>
            </c:strRef>
          </c:tx>
          <c:spPr>
            <a:pattFill prst="wdUpDiag">
              <a:fgClr>
                <a:sysClr val="windowText" lastClr="000000"/>
              </a:fgClr>
              <a:bgClr>
                <a:schemeClr val="bg1"/>
              </a:bgClr>
            </a:pattFill>
            <a:ln>
              <a:solidFill>
                <a:schemeClr val="tx1">
                  <a:lumMod val="50000"/>
                  <a:lumOff val="50000"/>
                </a:schemeClr>
              </a:solidFill>
            </a:ln>
            <a:effectLst/>
          </c:spPr>
          <c:invertIfNegative val="0"/>
          <c:dLbls>
            <c:dLbl>
              <c:idx val="1"/>
              <c:layout>
                <c:manualLayout>
                  <c:x val="-0.00680117887100431"/>
                  <c:y val="0.022016732716864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Sheet1!$H$2:$H$3</c:f>
              <c:numCache>
                <c:formatCode>General</c:formatCode>
                <c:ptCount val="2"/>
                <c:pt idx="1">
                  <c:v>7000.0</c:v>
                </c:pt>
              </c:numCache>
            </c:numRef>
          </c:val>
        </c:ser>
        <c:ser>
          <c:idx val="7"/>
          <c:order val="7"/>
          <c:tx>
            <c:strRef>
              <c:f>Sheet1!$I$1</c:f>
              <c:strCache>
                <c:ptCount val="1"/>
                <c:pt idx="0">
                  <c:v>Nhân viên văn phòng</c:v>
                </c:pt>
              </c:strCache>
            </c:strRef>
          </c:tx>
          <c:spPr>
            <a:pattFill prst="wdDnDiag">
              <a:fgClr>
                <a:sysClr val="windowText" lastClr="000000"/>
              </a:fgClr>
              <a:bgClr>
                <a:schemeClr val="bg1"/>
              </a:bgClr>
            </a:pattFill>
            <a:ln>
              <a:solidFill>
                <a:schemeClr val="tx1">
                  <a:lumMod val="50000"/>
                  <a:lumOff val="50000"/>
                </a:schemeClr>
              </a:solidFill>
            </a:ln>
            <a:effectLst/>
          </c:spPr>
          <c:invertIfNegative val="0"/>
          <c:dLbls>
            <c:dLbl>
              <c:idx val="1"/>
              <c:layout>
                <c:manualLayout>
                  <c:x val="-0.00453411924733637"/>
                  <c:y val="0.0044033465433729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Sheet1!$I$2:$I$3</c:f>
              <c:numCache>
                <c:formatCode>General</c:formatCode>
                <c:ptCount val="2"/>
                <c:pt idx="1">
                  <c:v>8000.0</c:v>
                </c:pt>
              </c:numCache>
            </c:numRef>
          </c:val>
        </c:ser>
        <c:ser>
          <c:idx val="8"/>
          <c:order val="8"/>
          <c:tx>
            <c:strRef>
              <c:f>Sheet1!$J$1</c:f>
              <c:strCache>
                <c:ptCount val="1"/>
                <c:pt idx="0">
                  <c:v>Cán bộ quản lý</c:v>
                </c:pt>
              </c:strCache>
            </c:strRef>
          </c:tx>
          <c:spPr>
            <a:pattFill prst="pct40">
              <a:fgClr>
                <a:sysClr val="windowText" lastClr="000000"/>
              </a:fgClr>
              <a:bgClr>
                <a:schemeClr val="bg1"/>
              </a:bgClr>
            </a:patt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Lao động (Người)</c:v>
                </c:pt>
                <c:pt idx="1">
                  <c:v>Mức lương bình quân (nghìn đồng)</c:v>
                </c:pt>
              </c:strCache>
            </c:strRef>
          </c:cat>
          <c:val>
            <c:numRef>
              <c:f>Sheet1!$J$2:$J$3</c:f>
              <c:numCache>
                <c:formatCode>General</c:formatCode>
                <c:ptCount val="2"/>
                <c:pt idx="1">
                  <c:v>15000.0</c:v>
                </c:pt>
              </c:numCache>
            </c:numRef>
          </c:val>
        </c:ser>
        <c:dLbls>
          <c:showLegendKey val="0"/>
          <c:showVal val="0"/>
          <c:showCatName val="0"/>
          <c:showSerName val="0"/>
          <c:showPercent val="0"/>
          <c:showBubbleSize val="0"/>
        </c:dLbls>
        <c:gapWidth val="219"/>
        <c:axId val="-2058571920"/>
        <c:axId val="-2057891008"/>
      </c:barChart>
      <c:catAx>
        <c:axId val="-205857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7891008"/>
        <c:crosses val="autoZero"/>
        <c:auto val="1"/>
        <c:lblAlgn val="ctr"/>
        <c:lblOffset val="100"/>
        <c:noMultiLvlLbl val="0"/>
      </c:catAx>
      <c:valAx>
        <c:axId val="-2057891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58571920"/>
        <c:crosses val="autoZero"/>
        <c:crossBetween val="between"/>
      </c:valAx>
      <c:spPr>
        <a:noFill/>
        <a:ln>
          <a:noFill/>
        </a:ln>
        <a:effectLst/>
      </c:spPr>
    </c:plotArea>
    <c:legend>
      <c:legendPos val="b"/>
      <c:layout>
        <c:manualLayout>
          <c:xMode val="edge"/>
          <c:yMode val="edge"/>
          <c:x val="0.125075459317585"/>
          <c:y val="0.745036870391201"/>
          <c:w val="0.759108158355206"/>
          <c:h val="0.2167672790901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spPr>
            <a:pattFill prst="pct5">
              <a:fgClr>
                <a:sysClr val="windowText" lastClr="000000"/>
              </a:fgClr>
              <a:bgClr>
                <a:schemeClr val="bg1"/>
              </a:bgClr>
            </a:pattFill>
            <a:ln>
              <a:solidFill>
                <a:schemeClr val="tx1">
                  <a:lumMod val="50000"/>
                  <a:lumOff val="50000"/>
                </a:schemeClr>
              </a:solidFill>
            </a:ln>
          </c:spPr>
          <c:dPt>
            <c:idx val="0"/>
            <c:bubble3D val="0"/>
            <c:spPr>
              <a:pattFill prst="pct5">
                <a:fgClr>
                  <a:sysClr val="windowText" lastClr="000000"/>
                </a:fgClr>
                <a:bgClr>
                  <a:schemeClr val="bg1"/>
                </a:bgClr>
              </a:pattFill>
              <a:ln w="19050">
                <a:solidFill>
                  <a:schemeClr val="tx1">
                    <a:lumMod val="50000"/>
                    <a:lumOff val="50000"/>
                  </a:schemeClr>
                </a:solidFill>
              </a:ln>
              <a:effectLst/>
            </c:spPr>
          </c:dPt>
          <c:dPt>
            <c:idx val="1"/>
            <c:bubble3D val="0"/>
            <c:spPr>
              <a:pattFill prst="pct40">
                <a:fgClr>
                  <a:sysClr val="windowText" lastClr="000000"/>
                </a:fgClr>
                <a:bgClr>
                  <a:schemeClr val="bg1"/>
                </a:bgClr>
              </a:pattFill>
              <a:ln w="19050">
                <a:solidFill>
                  <a:schemeClr val="tx1">
                    <a:lumMod val="50000"/>
                    <a:lumOff val="50000"/>
                  </a:schemeClr>
                </a:solidFill>
              </a:ln>
              <a:effectLst/>
            </c:spPr>
          </c:dPt>
          <c:dPt>
            <c:idx val="2"/>
            <c:bubble3D val="0"/>
            <c:spPr>
              <a:pattFill prst="pct90">
                <a:fgClr>
                  <a:sysClr val="windowText" lastClr="000000"/>
                </a:fgClr>
                <a:bgClr>
                  <a:schemeClr val="bg1"/>
                </a:bgClr>
              </a:pattFill>
              <a:ln w="19050">
                <a:solidFill>
                  <a:schemeClr val="tx1">
                    <a:lumMod val="50000"/>
                    <a:lumOff val="50000"/>
                  </a:schemeClr>
                </a:solidFill>
              </a:ln>
              <a:effectLst/>
            </c:spPr>
          </c:dPt>
          <c:dLbls>
            <c:dLbl>
              <c:idx val="0"/>
              <c:layout>
                <c:manualLayout>
                  <c:x val="0.0"/>
                  <c:y val="0.1269841269841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625"/>
                  <c:y val="0.071428571428571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74074074074074"/>
                  <c:y val="-0.023809523809523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Cao Đẳng, Đại học</c:v>
                </c:pt>
                <c:pt idx="1">
                  <c:v>Trung cấp, Sơ cấp</c:v>
                </c:pt>
                <c:pt idx="2">
                  <c:v>Lao động phổ thông</c:v>
                </c:pt>
              </c:strCache>
            </c:strRef>
          </c:cat>
          <c:val>
            <c:numRef>
              <c:f>Sheet1!$B$2:$B$4</c:f>
              <c:numCache>
                <c:formatCode>0.00%</c:formatCode>
                <c:ptCount val="3"/>
                <c:pt idx="0">
                  <c:v>0.029</c:v>
                </c:pt>
                <c:pt idx="1">
                  <c:v>0.3719</c:v>
                </c:pt>
                <c:pt idx="2">
                  <c:v>0.5991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3216</Words>
  <Characters>18332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2018-07-26T03:06:00Z</dcterms:created>
  <dcterms:modified xsi:type="dcterms:W3CDTF">2018-08-07T06:33:00Z</dcterms:modified>
</cp:coreProperties>
</file>