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4962" w14:textId="11F49BA0" w:rsidR="00944A19" w:rsidRDefault="00D213FA" w:rsidP="008911B3">
      <w:pPr>
        <w:spacing w:after="0" w:line="240" w:lineRule="auto"/>
        <w:jc w:val="center"/>
        <w:rPr>
          <w:rFonts w:ascii="Times New Roman" w:hAnsi="Times New Roman" w:cs="Times New Roman"/>
          <w:b/>
          <w:bCs/>
          <w:sz w:val="26"/>
          <w:szCs w:val="26"/>
        </w:rPr>
      </w:pPr>
      <w:r w:rsidRPr="00DD34B3">
        <w:rPr>
          <w:rFonts w:ascii="Times New Roman" w:hAnsi="Times New Roman" w:cs="Times New Roman"/>
          <w:b/>
          <w:bCs/>
          <w:sz w:val="26"/>
          <w:szCs w:val="26"/>
        </w:rPr>
        <w:t xml:space="preserve">PHÁT TRIỂN SẢN XUẤT RAU MÁ </w:t>
      </w:r>
      <w:r w:rsidR="00944A19">
        <w:rPr>
          <w:rFonts w:ascii="Times New Roman" w:hAnsi="Times New Roman" w:cs="Times New Roman"/>
          <w:b/>
          <w:bCs/>
          <w:sz w:val="26"/>
          <w:szCs w:val="26"/>
        </w:rPr>
        <w:t xml:space="preserve">AN TOÀN THEO </w:t>
      </w:r>
      <w:r w:rsidR="002A2DAD">
        <w:rPr>
          <w:rFonts w:ascii="Times New Roman" w:hAnsi="Times New Roman" w:cs="Times New Roman"/>
          <w:b/>
          <w:bCs/>
          <w:sz w:val="26"/>
          <w:szCs w:val="26"/>
        </w:rPr>
        <w:t>TIÊU CHUẨN</w:t>
      </w:r>
      <w:r w:rsidR="00944A19">
        <w:rPr>
          <w:rFonts w:ascii="Times New Roman" w:hAnsi="Times New Roman" w:cs="Times New Roman"/>
          <w:b/>
          <w:bCs/>
          <w:sz w:val="26"/>
          <w:szCs w:val="26"/>
        </w:rPr>
        <w:t xml:space="preserve"> </w:t>
      </w:r>
      <w:r w:rsidRPr="00DD34B3">
        <w:rPr>
          <w:rFonts w:ascii="Times New Roman" w:hAnsi="Times New Roman" w:cs="Times New Roman"/>
          <w:b/>
          <w:bCs/>
          <w:sz w:val="26"/>
          <w:szCs w:val="26"/>
        </w:rPr>
        <w:t xml:space="preserve">VIETGAP </w:t>
      </w:r>
    </w:p>
    <w:p w14:paraId="05DF1989" w14:textId="6451C011" w:rsidR="002D4AB6" w:rsidRPr="00DD34B3" w:rsidRDefault="00D213FA" w:rsidP="008911B3">
      <w:pPr>
        <w:spacing w:after="0" w:line="240" w:lineRule="auto"/>
        <w:jc w:val="center"/>
        <w:rPr>
          <w:rFonts w:ascii="Times New Roman" w:hAnsi="Times New Roman" w:cs="Times New Roman"/>
          <w:b/>
          <w:bCs/>
          <w:sz w:val="26"/>
          <w:szCs w:val="26"/>
        </w:rPr>
      </w:pPr>
      <w:r w:rsidRPr="00DD34B3">
        <w:rPr>
          <w:rFonts w:ascii="Times New Roman" w:hAnsi="Times New Roman" w:cs="Times New Roman"/>
          <w:b/>
          <w:bCs/>
          <w:sz w:val="26"/>
          <w:szCs w:val="26"/>
        </w:rPr>
        <w:t>TẠI HUYỆN QUẢNG ĐIỀN, TỈNH THỪA THIÊN HUẾ</w:t>
      </w:r>
      <w:r w:rsidR="00944A19">
        <w:rPr>
          <w:rFonts w:ascii="Times New Roman" w:hAnsi="Times New Roman" w:cs="Times New Roman"/>
          <w:b/>
          <w:bCs/>
          <w:sz w:val="26"/>
          <w:szCs w:val="26"/>
        </w:rPr>
        <w:t xml:space="preserve"> </w:t>
      </w:r>
    </w:p>
    <w:p w14:paraId="5AE35411" w14:textId="77777777" w:rsidR="002D4AB6" w:rsidRPr="00DD34B3" w:rsidRDefault="002D4AB6" w:rsidP="008911B3">
      <w:pPr>
        <w:spacing w:after="0" w:line="240" w:lineRule="auto"/>
        <w:ind w:firstLine="5103"/>
        <w:jc w:val="both"/>
        <w:rPr>
          <w:rFonts w:ascii="Times New Roman" w:hAnsi="Times New Roman" w:cs="Times New Roman"/>
          <w:b/>
          <w:bCs/>
          <w:i/>
          <w:iCs/>
          <w:sz w:val="26"/>
          <w:szCs w:val="26"/>
        </w:rPr>
      </w:pPr>
      <w:r w:rsidRPr="00DD34B3">
        <w:rPr>
          <w:rFonts w:ascii="Times New Roman" w:hAnsi="Times New Roman" w:cs="Times New Roman"/>
          <w:b/>
          <w:bCs/>
          <w:i/>
          <w:iCs/>
          <w:sz w:val="26"/>
          <w:szCs w:val="26"/>
        </w:rPr>
        <w:t>Nguyễn Văn Lạc</w:t>
      </w:r>
    </w:p>
    <w:p w14:paraId="5E1CEBF6" w14:textId="2449375F" w:rsidR="002D4AB6" w:rsidRPr="00DD34B3" w:rsidRDefault="002D4AB6" w:rsidP="008911B3">
      <w:pPr>
        <w:spacing w:after="0" w:line="240" w:lineRule="auto"/>
        <w:ind w:firstLine="5103"/>
        <w:jc w:val="both"/>
        <w:rPr>
          <w:rFonts w:ascii="Times New Roman" w:hAnsi="Times New Roman" w:cs="Times New Roman"/>
          <w:b/>
          <w:bCs/>
          <w:i/>
          <w:iCs/>
          <w:sz w:val="26"/>
          <w:szCs w:val="26"/>
        </w:rPr>
      </w:pPr>
      <w:r w:rsidRPr="00DD34B3">
        <w:rPr>
          <w:rFonts w:ascii="Times New Roman" w:hAnsi="Times New Roman" w:cs="Times New Roman"/>
          <w:b/>
          <w:bCs/>
          <w:i/>
          <w:iCs/>
          <w:sz w:val="26"/>
          <w:szCs w:val="26"/>
        </w:rPr>
        <w:t>Phạm Thị Thanh Xuân</w:t>
      </w:r>
    </w:p>
    <w:p w14:paraId="27DE0118" w14:textId="1FBC58CD" w:rsidR="00D44219" w:rsidRPr="00DD34B3" w:rsidRDefault="00D44219" w:rsidP="008911B3">
      <w:pPr>
        <w:spacing w:after="0" w:line="240" w:lineRule="auto"/>
        <w:ind w:firstLine="5103"/>
        <w:jc w:val="both"/>
        <w:rPr>
          <w:rFonts w:ascii="Times New Roman" w:hAnsi="Times New Roman" w:cs="Times New Roman"/>
          <w:b/>
          <w:bCs/>
          <w:i/>
          <w:iCs/>
          <w:sz w:val="26"/>
          <w:szCs w:val="26"/>
        </w:rPr>
      </w:pPr>
      <w:r w:rsidRPr="00DD34B3">
        <w:rPr>
          <w:rFonts w:ascii="Times New Roman" w:hAnsi="Times New Roman" w:cs="Times New Roman"/>
          <w:b/>
          <w:bCs/>
          <w:i/>
          <w:iCs/>
          <w:sz w:val="26"/>
          <w:szCs w:val="26"/>
        </w:rPr>
        <w:t>Trường Đại học Kinh tế, Đại học Huế</w:t>
      </w:r>
    </w:p>
    <w:p w14:paraId="14C74652" w14:textId="122D0B27" w:rsidR="00DD34B3" w:rsidRDefault="00DD34B3" w:rsidP="00B2567C">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TÓM TẮT</w:t>
      </w:r>
    </w:p>
    <w:p w14:paraId="65118758" w14:textId="56D22FC0" w:rsidR="00DD34B3" w:rsidRDefault="00AB6379" w:rsidP="00AB6379">
      <w:pPr>
        <w:spacing w:after="0" w:line="360" w:lineRule="auto"/>
        <w:ind w:firstLine="720"/>
        <w:jc w:val="both"/>
        <w:rPr>
          <w:rFonts w:ascii="Times New Roman" w:hAnsi="Times New Roman" w:cs="Times New Roman"/>
          <w:i/>
          <w:iCs/>
          <w:sz w:val="26"/>
          <w:szCs w:val="26"/>
        </w:rPr>
      </w:pPr>
      <w:r>
        <w:rPr>
          <w:rFonts w:ascii="Times New Roman" w:hAnsi="Times New Roman" w:cs="Times New Roman"/>
          <w:i/>
          <w:iCs/>
          <w:sz w:val="26"/>
          <w:szCs w:val="26"/>
        </w:rPr>
        <w:t xml:space="preserve">Mô hình </w:t>
      </w:r>
      <w:r w:rsidR="00580D1E" w:rsidRPr="00A14B67">
        <w:rPr>
          <w:rFonts w:ascii="Times New Roman" w:hAnsi="Times New Roman" w:cs="Times New Roman"/>
          <w:i/>
          <w:iCs/>
          <w:sz w:val="26"/>
          <w:szCs w:val="26"/>
        </w:rPr>
        <w:t xml:space="preserve">sản xuất rau </w:t>
      </w:r>
      <w:r w:rsidR="002A2DAD">
        <w:rPr>
          <w:rFonts w:ascii="Times New Roman" w:hAnsi="Times New Roman" w:cs="Times New Roman"/>
          <w:i/>
          <w:iCs/>
          <w:sz w:val="26"/>
          <w:szCs w:val="26"/>
        </w:rPr>
        <w:t xml:space="preserve">an toàn </w:t>
      </w:r>
      <w:r w:rsidR="00944A19">
        <w:rPr>
          <w:rFonts w:ascii="Times New Roman" w:hAnsi="Times New Roman" w:cs="Times New Roman"/>
          <w:i/>
          <w:iCs/>
          <w:sz w:val="26"/>
          <w:szCs w:val="26"/>
        </w:rPr>
        <w:t xml:space="preserve">theo </w:t>
      </w:r>
      <w:r w:rsidR="002A2DAD">
        <w:rPr>
          <w:rFonts w:ascii="Times New Roman" w:hAnsi="Times New Roman" w:cs="Times New Roman"/>
          <w:i/>
          <w:iCs/>
          <w:sz w:val="26"/>
          <w:szCs w:val="26"/>
        </w:rPr>
        <w:t>tiêu chuẩn</w:t>
      </w:r>
      <w:r w:rsidR="00944A19">
        <w:rPr>
          <w:rFonts w:ascii="Times New Roman" w:hAnsi="Times New Roman" w:cs="Times New Roman"/>
          <w:i/>
          <w:iCs/>
          <w:sz w:val="26"/>
          <w:szCs w:val="26"/>
        </w:rPr>
        <w:t xml:space="preserve"> VietGAP</w:t>
      </w:r>
      <w:r w:rsidR="00580D1E" w:rsidRPr="00A14B67">
        <w:rPr>
          <w:rFonts w:ascii="Times New Roman" w:hAnsi="Times New Roman" w:cs="Times New Roman"/>
          <w:i/>
          <w:iCs/>
          <w:sz w:val="26"/>
          <w:szCs w:val="26"/>
        </w:rPr>
        <w:t xml:space="preserve"> </w:t>
      </w:r>
      <w:r>
        <w:rPr>
          <w:rFonts w:ascii="Times New Roman" w:hAnsi="Times New Roman" w:cs="Times New Roman"/>
          <w:i/>
          <w:iCs/>
          <w:sz w:val="26"/>
          <w:szCs w:val="26"/>
        </w:rPr>
        <w:t xml:space="preserve">( rau má VietGAP) </w:t>
      </w:r>
      <w:r w:rsidRPr="00A14B67">
        <w:rPr>
          <w:rFonts w:ascii="Times New Roman" w:hAnsi="Times New Roman" w:cs="Times New Roman"/>
          <w:i/>
          <w:iCs/>
          <w:sz w:val="26"/>
          <w:szCs w:val="26"/>
        </w:rPr>
        <w:t xml:space="preserve">tại huyện Quảng Điền, tỉnh Thừa Thiên Huế </w:t>
      </w:r>
      <w:r w:rsidR="00580D1E" w:rsidRPr="00A14B67">
        <w:rPr>
          <w:rFonts w:ascii="Times New Roman" w:hAnsi="Times New Roman" w:cs="Times New Roman"/>
          <w:i/>
          <w:iCs/>
          <w:sz w:val="26"/>
          <w:szCs w:val="26"/>
        </w:rPr>
        <w:t>đã mang lại hiệu quả kinh tế cao cho người nông dân. Kết quả nghiên cứu cho thấy</w:t>
      </w:r>
      <w:r>
        <w:rPr>
          <w:rFonts w:ascii="Times New Roman" w:hAnsi="Times New Roman" w:cs="Times New Roman"/>
          <w:i/>
          <w:iCs/>
          <w:sz w:val="26"/>
          <w:szCs w:val="26"/>
        </w:rPr>
        <w:t>,</w:t>
      </w:r>
      <w:r w:rsidR="0021089D">
        <w:rPr>
          <w:rFonts w:ascii="Times New Roman" w:hAnsi="Times New Roman" w:cs="Times New Roman"/>
          <w:i/>
          <w:iCs/>
          <w:sz w:val="26"/>
          <w:szCs w:val="26"/>
        </w:rPr>
        <w:t xml:space="preserve"> trung bình mỗi năm </w:t>
      </w:r>
      <w:r w:rsidR="00580D1E" w:rsidRPr="00A14B67">
        <w:rPr>
          <w:rFonts w:ascii="Times New Roman" w:hAnsi="Times New Roman" w:cs="Times New Roman"/>
          <w:i/>
          <w:iCs/>
          <w:sz w:val="26"/>
          <w:szCs w:val="26"/>
        </w:rPr>
        <w:t xml:space="preserve">sản xuất rau má VietGAP </w:t>
      </w:r>
      <w:r w:rsidR="002A2DAD">
        <w:rPr>
          <w:rFonts w:ascii="Times New Roman" w:hAnsi="Times New Roman" w:cs="Times New Roman"/>
          <w:i/>
          <w:iCs/>
          <w:sz w:val="26"/>
          <w:szCs w:val="26"/>
        </w:rPr>
        <w:t xml:space="preserve">đem lại lợi nhuận là </w:t>
      </w:r>
      <w:r w:rsidR="0021089D">
        <w:rPr>
          <w:rFonts w:ascii="Times New Roman" w:hAnsi="Times New Roman" w:cs="Times New Roman"/>
          <w:i/>
          <w:iCs/>
          <w:sz w:val="26"/>
          <w:szCs w:val="26"/>
        </w:rPr>
        <w:t>17</w:t>
      </w:r>
      <w:r w:rsidR="002A2DAD">
        <w:rPr>
          <w:rFonts w:ascii="Times New Roman" w:hAnsi="Times New Roman" w:cs="Times New Roman"/>
          <w:i/>
          <w:iCs/>
          <w:sz w:val="26"/>
          <w:szCs w:val="26"/>
        </w:rPr>
        <w:t>1,9</w:t>
      </w:r>
      <w:r w:rsidR="0021089D">
        <w:rPr>
          <w:rFonts w:ascii="Times New Roman" w:hAnsi="Times New Roman" w:cs="Times New Roman"/>
          <w:i/>
          <w:iCs/>
          <w:sz w:val="26"/>
          <w:szCs w:val="26"/>
        </w:rPr>
        <w:t xml:space="preserve"> triệu đồng/ha </w:t>
      </w:r>
      <w:r w:rsidR="00580D1E" w:rsidRPr="00A14B67">
        <w:rPr>
          <w:rFonts w:ascii="Times New Roman" w:hAnsi="Times New Roman" w:cs="Times New Roman"/>
          <w:i/>
          <w:iCs/>
          <w:sz w:val="26"/>
          <w:szCs w:val="26"/>
        </w:rPr>
        <w:t xml:space="preserve">cao hơn so với sản xuất rau má theo </w:t>
      </w:r>
      <w:r w:rsidR="00736ABD" w:rsidRPr="00A14B67">
        <w:rPr>
          <w:rFonts w:ascii="Times New Roman" w:hAnsi="Times New Roman" w:cs="Times New Roman"/>
          <w:i/>
          <w:iCs/>
          <w:sz w:val="26"/>
          <w:szCs w:val="26"/>
        </w:rPr>
        <w:t xml:space="preserve">phương </w:t>
      </w:r>
      <w:r w:rsidR="00304FA4">
        <w:rPr>
          <w:rFonts w:ascii="Times New Roman" w:hAnsi="Times New Roman" w:cs="Times New Roman"/>
          <w:i/>
          <w:iCs/>
          <w:sz w:val="26"/>
          <w:szCs w:val="26"/>
        </w:rPr>
        <w:t>pháp</w:t>
      </w:r>
      <w:r w:rsidR="00580D1E" w:rsidRPr="00A14B67">
        <w:rPr>
          <w:rFonts w:ascii="Times New Roman" w:hAnsi="Times New Roman" w:cs="Times New Roman"/>
          <w:i/>
          <w:iCs/>
          <w:sz w:val="26"/>
          <w:szCs w:val="26"/>
        </w:rPr>
        <w:t xml:space="preserve"> truyền thống</w:t>
      </w:r>
      <w:r w:rsidR="0021089D">
        <w:rPr>
          <w:rFonts w:ascii="Times New Roman" w:hAnsi="Times New Roman" w:cs="Times New Roman"/>
          <w:i/>
          <w:iCs/>
          <w:sz w:val="26"/>
          <w:szCs w:val="26"/>
        </w:rPr>
        <w:t xml:space="preserve"> và </w:t>
      </w:r>
      <w:r w:rsidR="00115F6C">
        <w:rPr>
          <w:rFonts w:ascii="Times New Roman" w:hAnsi="Times New Roman" w:cs="Times New Roman"/>
          <w:i/>
          <w:iCs/>
          <w:sz w:val="26"/>
          <w:szCs w:val="26"/>
        </w:rPr>
        <w:t xml:space="preserve">các loại </w:t>
      </w:r>
      <w:r w:rsidR="0021089D">
        <w:rPr>
          <w:rFonts w:ascii="Times New Roman" w:hAnsi="Times New Roman" w:cs="Times New Roman"/>
          <w:i/>
          <w:iCs/>
          <w:sz w:val="26"/>
          <w:szCs w:val="26"/>
        </w:rPr>
        <w:t>cây trồng khác</w:t>
      </w:r>
      <w:r w:rsidR="00580D1E" w:rsidRPr="00A14B67">
        <w:rPr>
          <w:rFonts w:ascii="Times New Roman" w:hAnsi="Times New Roman" w:cs="Times New Roman"/>
          <w:i/>
          <w:iCs/>
          <w:sz w:val="26"/>
          <w:szCs w:val="26"/>
        </w:rPr>
        <w:t xml:space="preserve">. </w:t>
      </w:r>
      <w:r w:rsidR="00304FA4">
        <w:rPr>
          <w:rFonts w:ascii="Times New Roman" w:hAnsi="Times New Roman" w:cs="Times New Roman"/>
          <w:i/>
          <w:iCs/>
          <w:sz w:val="26"/>
          <w:szCs w:val="26"/>
        </w:rPr>
        <w:t>Tuy nhiên</w:t>
      </w:r>
      <w:r w:rsidR="00473995" w:rsidRPr="00A14B67">
        <w:rPr>
          <w:rFonts w:ascii="Times New Roman" w:hAnsi="Times New Roman" w:cs="Times New Roman"/>
          <w:i/>
          <w:iCs/>
          <w:sz w:val="26"/>
          <w:szCs w:val="26"/>
        </w:rPr>
        <w:t xml:space="preserve">, </w:t>
      </w:r>
      <w:r w:rsidR="00304FA4">
        <w:rPr>
          <w:rFonts w:ascii="Times New Roman" w:hAnsi="Times New Roman" w:cs="Times New Roman"/>
          <w:i/>
          <w:iCs/>
          <w:sz w:val="26"/>
          <w:szCs w:val="26"/>
        </w:rPr>
        <w:t>quá trình sản xuất rau má VietGAP vẫn còn một số tồn tại như</w:t>
      </w:r>
      <w:r>
        <w:rPr>
          <w:rFonts w:ascii="Times New Roman" w:hAnsi="Times New Roman" w:cs="Times New Roman"/>
          <w:i/>
          <w:iCs/>
          <w:sz w:val="26"/>
          <w:szCs w:val="26"/>
        </w:rPr>
        <w:t>:</w:t>
      </w:r>
      <w:r w:rsidR="00304FA4">
        <w:rPr>
          <w:rFonts w:ascii="Times New Roman" w:hAnsi="Times New Roman" w:cs="Times New Roman"/>
          <w:i/>
          <w:iCs/>
          <w:sz w:val="26"/>
          <w:szCs w:val="26"/>
        </w:rPr>
        <w:t xml:space="preserve"> </w:t>
      </w:r>
      <w:r w:rsidR="00473995" w:rsidRPr="00A14B67">
        <w:rPr>
          <w:rFonts w:ascii="Times New Roman" w:hAnsi="Times New Roman" w:cs="Times New Roman"/>
          <w:i/>
          <w:iCs/>
          <w:sz w:val="26"/>
          <w:szCs w:val="26"/>
        </w:rPr>
        <w:t>một số hộ chưa tuân thủ hoàn toàn yêu cầu sản xuất theo tiêu chuẩn VietGAP</w:t>
      </w:r>
      <w:r w:rsidR="00304FA4">
        <w:rPr>
          <w:rFonts w:ascii="Times New Roman" w:hAnsi="Times New Roman" w:cs="Times New Roman"/>
          <w:i/>
          <w:iCs/>
          <w:sz w:val="26"/>
          <w:szCs w:val="26"/>
        </w:rPr>
        <w:t>, giá cả không ổn định</w:t>
      </w:r>
      <w:r>
        <w:rPr>
          <w:rFonts w:ascii="Times New Roman" w:hAnsi="Times New Roman" w:cs="Times New Roman"/>
          <w:i/>
          <w:iCs/>
          <w:sz w:val="26"/>
          <w:szCs w:val="26"/>
        </w:rPr>
        <w:t>.</w:t>
      </w:r>
      <w:r w:rsidR="00304FA4">
        <w:rPr>
          <w:rFonts w:ascii="Times New Roman" w:hAnsi="Times New Roman" w:cs="Times New Roman"/>
          <w:i/>
          <w:iCs/>
          <w:sz w:val="26"/>
          <w:szCs w:val="26"/>
        </w:rPr>
        <w:t>..</w:t>
      </w:r>
      <w:r w:rsidR="00473995" w:rsidRPr="00A14B67">
        <w:rPr>
          <w:rFonts w:ascii="Times New Roman" w:hAnsi="Times New Roman" w:cs="Times New Roman"/>
          <w:i/>
          <w:iCs/>
          <w:sz w:val="26"/>
          <w:szCs w:val="26"/>
        </w:rPr>
        <w:t>Để phát triển sản xuất rau má VietGAP hiệu quả</w:t>
      </w:r>
      <w:r w:rsidR="00304FA4">
        <w:rPr>
          <w:rFonts w:ascii="Times New Roman" w:hAnsi="Times New Roman" w:cs="Times New Roman"/>
          <w:i/>
          <w:iCs/>
          <w:sz w:val="26"/>
          <w:szCs w:val="26"/>
        </w:rPr>
        <w:t xml:space="preserve"> và</w:t>
      </w:r>
      <w:r w:rsidR="00473995" w:rsidRPr="00A14B67">
        <w:rPr>
          <w:rFonts w:ascii="Times New Roman" w:hAnsi="Times New Roman" w:cs="Times New Roman"/>
          <w:i/>
          <w:iCs/>
          <w:sz w:val="26"/>
          <w:szCs w:val="26"/>
        </w:rPr>
        <w:t xml:space="preserve"> bền vững cần </w:t>
      </w:r>
      <w:r w:rsidR="00304FA4">
        <w:rPr>
          <w:rFonts w:ascii="Times New Roman" w:hAnsi="Times New Roman" w:cs="Times New Roman"/>
          <w:i/>
          <w:iCs/>
          <w:sz w:val="26"/>
          <w:szCs w:val="26"/>
        </w:rPr>
        <w:t>thực hiện đồng bộ các giải pháp trong quá trình sản xuất và tiêu thụ sản phẩm.</w:t>
      </w:r>
    </w:p>
    <w:p w14:paraId="587EB61C" w14:textId="251F2BBD" w:rsidR="00AB6379" w:rsidRDefault="00AB6379" w:rsidP="00AB6379">
      <w:pPr>
        <w:spacing w:after="0" w:line="360" w:lineRule="auto"/>
        <w:ind w:firstLine="720"/>
        <w:jc w:val="both"/>
        <w:rPr>
          <w:rFonts w:ascii="Times New Roman" w:hAnsi="Times New Roman" w:cs="Times New Roman"/>
          <w:sz w:val="26"/>
          <w:szCs w:val="26"/>
        </w:rPr>
      </w:pPr>
      <w:r w:rsidRPr="00AB6379">
        <w:rPr>
          <w:rFonts w:ascii="Times New Roman" w:hAnsi="Times New Roman" w:cs="Times New Roman"/>
          <w:b/>
          <w:bCs/>
          <w:sz w:val="26"/>
          <w:szCs w:val="26"/>
        </w:rPr>
        <w:t>Từ khóa:</w:t>
      </w:r>
      <w:r>
        <w:rPr>
          <w:rFonts w:ascii="Times New Roman" w:hAnsi="Times New Roman" w:cs="Times New Roman"/>
          <w:sz w:val="26"/>
          <w:szCs w:val="26"/>
        </w:rPr>
        <w:t xml:space="preserve"> Sản xuất rau má an toàn, tiêu chuẩn VietGAP, huyện Quảng Điền, tỉnh Thừa Thiên Huế</w:t>
      </w:r>
    </w:p>
    <w:p w14:paraId="37DDBFD0" w14:textId="07E2484A" w:rsidR="00AB6379" w:rsidRPr="00AB6379" w:rsidRDefault="00AB6379" w:rsidP="00AB6379">
      <w:pPr>
        <w:spacing w:after="0" w:line="360" w:lineRule="auto"/>
        <w:ind w:firstLine="720"/>
        <w:jc w:val="both"/>
        <w:rPr>
          <w:rFonts w:ascii="Times New Roman" w:hAnsi="Times New Roman" w:cs="Times New Roman"/>
          <w:b/>
          <w:bCs/>
          <w:sz w:val="26"/>
          <w:szCs w:val="26"/>
        </w:rPr>
      </w:pPr>
      <w:r w:rsidRPr="00AB6379">
        <w:rPr>
          <w:rFonts w:ascii="Times New Roman" w:hAnsi="Times New Roman" w:cs="Times New Roman"/>
          <w:b/>
          <w:bCs/>
          <w:sz w:val="26"/>
          <w:szCs w:val="26"/>
        </w:rPr>
        <w:t>Summary</w:t>
      </w:r>
    </w:p>
    <w:p w14:paraId="0EFBEF84" w14:textId="530305F7" w:rsidR="00AB6379" w:rsidRPr="000443B4" w:rsidRDefault="00DA4A09" w:rsidP="00AB6379">
      <w:pPr>
        <w:spacing w:after="0" w:line="360" w:lineRule="auto"/>
        <w:ind w:firstLine="720"/>
        <w:jc w:val="both"/>
        <w:rPr>
          <w:rFonts w:ascii="Times New Roman" w:hAnsi="Times New Roman" w:cs="Times New Roman"/>
          <w:i/>
          <w:iCs/>
          <w:sz w:val="26"/>
          <w:szCs w:val="26"/>
        </w:rPr>
      </w:pPr>
      <w:r w:rsidRPr="000443B4">
        <w:rPr>
          <w:rFonts w:ascii="Times New Roman" w:hAnsi="Times New Roman" w:cs="Times New Roman"/>
          <w:i/>
          <w:iCs/>
          <w:sz w:val="26"/>
          <w:szCs w:val="26"/>
        </w:rPr>
        <w:t xml:space="preserve">The model of safe pennywort production under VietGAP standards in Quang Dien district, Thua Thien Hue province has brought farmers high economic efficiency. The research results show that, on average, pennywort production </w:t>
      </w:r>
      <w:r w:rsidRPr="000443B4">
        <w:rPr>
          <w:rFonts w:ascii="Times New Roman" w:hAnsi="Times New Roman" w:cs="Times New Roman"/>
          <w:i/>
          <w:iCs/>
          <w:sz w:val="26"/>
          <w:szCs w:val="26"/>
        </w:rPr>
        <w:t>under VietGAP standards</w:t>
      </w:r>
      <w:r w:rsidRPr="000443B4">
        <w:rPr>
          <w:rFonts w:ascii="Times New Roman" w:hAnsi="Times New Roman" w:cs="Times New Roman"/>
          <w:i/>
          <w:iCs/>
          <w:sz w:val="26"/>
          <w:szCs w:val="26"/>
        </w:rPr>
        <w:t xml:space="preserve"> generates an annual profit of 171.9 million VND/ha, higher than traditional methods and other crops. However, this model still has some shortcomings due to the fact that some households have not fully complied with production </w:t>
      </w:r>
      <w:r w:rsidRPr="000443B4">
        <w:rPr>
          <w:rFonts w:ascii="Times New Roman" w:hAnsi="Times New Roman" w:cs="Times New Roman"/>
          <w:i/>
          <w:iCs/>
          <w:sz w:val="26"/>
          <w:szCs w:val="26"/>
        </w:rPr>
        <w:t>under VietGAP standards</w:t>
      </w:r>
      <w:r w:rsidRPr="000443B4">
        <w:rPr>
          <w:rFonts w:ascii="Times New Roman" w:hAnsi="Times New Roman" w:cs="Times New Roman"/>
          <w:i/>
          <w:iCs/>
          <w:sz w:val="26"/>
          <w:szCs w:val="26"/>
        </w:rPr>
        <w:t>, prices are not stable… To make this model efficient and sustainable, it’s essential to implement schemes synchronously in the process of pennywort production and comsumption.</w:t>
      </w:r>
    </w:p>
    <w:p w14:paraId="3608B431" w14:textId="23A54815" w:rsidR="00DA4A09" w:rsidRPr="00DA4A09" w:rsidRDefault="00DA4A09" w:rsidP="00AB6379">
      <w:pPr>
        <w:spacing w:after="0" w:line="360" w:lineRule="auto"/>
        <w:ind w:firstLine="720"/>
        <w:jc w:val="both"/>
        <w:rPr>
          <w:rFonts w:ascii="Times New Roman" w:hAnsi="Times New Roman" w:cs="Times New Roman"/>
          <w:sz w:val="26"/>
          <w:szCs w:val="26"/>
        </w:rPr>
      </w:pPr>
      <w:r>
        <w:rPr>
          <w:rFonts w:ascii="Times New Roman" w:hAnsi="Times New Roman" w:cs="Times New Roman"/>
          <w:b/>
          <w:bCs/>
          <w:sz w:val="26"/>
          <w:szCs w:val="26"/>
        </w:rPr>
        <w:t xml:space="preserve">Keywords: </w:t>
      </w:r>
      <w:r>
        <w:rPr>
          <w:rFonts w:ascii="Times New Roman" w:hAnsi="Times New Roman" w:cs="Times New Roman"/>
          <w:sz w:val="26"/>
          <w:szCs w:val="26"/>
        </w:rPr>
        <w:t xml:space="preserve">safe </w:t>
      </w:r>
      <w:r>
        <w:rPr>
          <w:rFonts w:ascii="Times New Roman" w:hAnsi="Times New Roman" w:cs="Times New Roman"/>
          <w:sz w:val="26"/>
          <w:szCs w:val="26"/>
        </w:rPr>
        <w:t>vegetable</w:t>
      </w:r>
      <w:r>
        <w:rPr>
          <w:rFonts w:ascii="Times New Roman" w:hAnsi="Times New Roman" w:cs="Times New Roman"/>
          <w:sz w:val="26"/>
          <w:szCs w:val="26"/>
        </w:rPr>
        <w:t xml:space="preserve"> production</w:t>
      </w:r>
      <w:r>
        <w:rPr>
          <w:rFonts w:ascii="Times New Roman" w:hAnsi="Times New Roman" w:cs="Times New Roman"/>
          <w:sz w:val="26"/>
          <w:szCs w:val="26"/>
        </w:rPr>
        <w:t xml:space="preserve">, </w:t>
      </w:r>
      <w:r>
        <w:rPr>
          <w:rFonts w:ascii="Times New Roman" w:hAnsi="Times New Roman" w:cs="Times New Roman"/>
          <w:sz w:val="26"/>
          <w:szCs w:val="26"/>
        </w:rPr>
        <w:t>VietGAP standards</w:t>
      </w:r>
      <w:r>
        <w:rPr>
          <w:rFonts w:ascii="Times New Roman" w:hAnsi="Times New Roman" w:cs="Times New Roman"/>
          <w:sz w:val="26"/>
          <w:szCs w:val="26"/>
        </w:rPr>
        <w:t xml:space="preserve">, </w:t>
      </w:r>
      <w:r>
        <w:rPr>
          <w:rFonts w:ascii="Times New Roman" w:hAnsi="Times New Roman" w:cs="Times New Roman"/>
          <w:sz w:val="26"/>
          <w:szCs w:val="26"/>
        </w:rPr>
        <w:t>Quang Dien district, Thua Thien Hue province</w:t>
      </w:r>
      <w:r>
        <w:rPr>
          <w:rFonts w:ascii="Times New Roman" w:hAnsi="Times New Roman" w:cs="Times New Roman"/>
          <w:sz w:val="26"/>
          <w:szCs w:val="26"/>
        </w:rPr>
        <w:t>.</w:t>
      </w:r>
    </w:p>
    <w:p w14:paraId="472BB8B9" w14:textId="44FF248E" w:rsidR="00473995" w:rsidRPr="00A14B67" w:rsidRDefault="00AB6379" w:rsidP="00A14B67">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GIỚI THIỆU</w:t>
      </w:r>
    </w:p>
    <w:p w14:paraId="1F4998B8" w14:textId="4B6869FE" w:rsidR="00A14B67" w:rsidRDefault="00AB6379" w:rsidP="00A14B6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H</w:t>
      </w:r>
      <w:r w:rsidR="00A14B67" w:rsidRPr="00941FD8">
        <w:rPr>
          <w:rFonts w:ascii="Times New Roman" w:hAnsi="Times New Roman" w:cs="Times New Roman"/>
          <w:sz w:val="26"/>
          <w:szCs w:val="26"/>
        </w:rPr>
        <w:t xml:space="preserve">uyện Quảng Điền </w:t>
      </w:r>
      <w:r w:rsidR="00F02FEB">
        <w:rPr>
          <w:rFonts w:ascii="Times New Roman" w:hAnsi="Times New Roman" w:cs="Times New Roman"/>
          <w:sz w:val="26"/>
          <w:szCs w:val="26"/>
        </w:rPr>
        <w:t xml:space="preserve">là địa phương </w:t>
      </w:r>
      <w:r w:rsidR="00A14B67" w:rsidRPr="00941FD8">
        <w:rPr>
          <w:rFonts w:ascii="Times New Roman" w:hAnsi="Times New Roman" w:cs="Times New Roman"/>
          <w:sz w:val="26"/>
          <w:szCs w:val="26"/>
        </w:rPr>
        <w:t xml:space="preserve">có diện tích sản xuất rau má lớn </w:t>
      </w:r>
      <w:r w:rsidR="00F02FEB">
        <w:rPr>
          <w:rFonts w:ascii="Times New Roman" w:hAnsi="Times New Roman" w:cs="Times New Roman"/>
          <w:sz w:val="26"/>
          <w:szCs w:val="26"/>
        </w:rPr>
        <w:t xml:space="preserve">nhất </w:t>
      </w:r>
      <w:r w:rsidR="00A14B67" w:rsidRPr="00941FD8">
        <w:rPr>
          <w:rFonts w:ascii="Times New Roman" w:hAnsi="Times New Roman" w:cs="Times New Roman"/>
          <w:sz w:val="26"/>
          <w:szCs w:val="26"/>
        </w:rPr>
        <w:t xml:space="preserve">và </w:t>
      </w:r>
      <w:r w:rsidR="002709F9">
        <w:rPr>
          <w:rFonts w:ascii="Times New Roman" w:hAnsi="Times New Roman" w:cs="Times New Roman"/>
          <w:sz w:val="26"/>
          <w:szCs w:val="26"/>
        </w:rPr>
        <w:t xml:space="preserve">là nơi </w:t>
      </w:r>
      <w:r w:rsidR="00A14B67" w:rsidRPr="00941FD8">
        <w:rPr>
          <w:rFonts w:ascii="Times New Roman" w:hAnsi="Times New Roman" w:cs="Times New Roman"/>
          <w:sz w:val="26"/>
          <w:szCs w:val="26"/>
        </w:rPr>
        <w:t xml:space="preserve">có mô hình sản xuất rau má </w:t>
      </w:r>
      <w:r w:rsidR="00AE2FD2">
        <w:rPr>
          <w:rFonts w:ascii="Times New Roman" w:hAnsi="Times New Roman" w:cs="Times New Roman"/>
          <w:sz w:val="26"/>
          <w:szCs w:val="26"/>
        </w:rPr>
        <w:t xml:space="preserve">an toàn </w:t>
      </w:r>
      <w:r w:rsidR="002709F9">
        <w:rPr>
          <w:rFonts w:ascii="Times New Roman" w:hAnsi="Times New Roman" w:cs="Times New Roman"/>
          <w:sz w:val="26"/>
          <w:szCs w:val="26"/>
        </w:rPr>
        <w:t>theo tiêu chuẩn VietGAP</w:t>
      </w:r>
      <w:r w:rsidR="00AE2FD2">
        <w:rPr>
          <w:rFonts w:ascii="Times New Roman" w:hAnsi="Times New Roman" w:cs="Times New Roman"/>
          <w:sz w:val="26"/>
          <w:szCs w:val="26"/>
        </w:rPr>
        <w:t xml:space="preserve"> (rau má VietGAP)</w:t>
      </w:r>
      <w:r w:rsidR="00A14B67" w:rsidRPr="00941FD8">
        <w:rPr>
          <w:rFonts w:ascii="Times New Roman" w:hAnsi="Times New Roman" w:cs="Times New Roman"/>
          <w:sz w:val="26"/>
          <w:szCs w:val="26"/>
        </w:rPr>
        <w:t xml:space="preserve"> duy nhất của </w:t>
      </w:r>
      <w:r w:rsidR="00A14B67" w:rsidRPr="00941FD8">
        <w:rPr>
          <w:rFonts w:ascii="Times New Roman" w:hAnsi="Times New Roman" w:cs="Times New Roman"/>
          <w:sz w:val="26"/>
          <w:szCs w:val="26"/>
        </w:rPr>
        <w:lastRenderedPageBreak/>
        <w:t xml:space="preserve">tỉnh Thừa Thiên Huế. </w:t>
      </w:r>
      <w:r w:rsidR="0034551F">
        <w:rPr>
          <w:rFonts w:ascii="Times New Roman" w:hAnsi="Times New Roman" w:cs="Times New Roman"/>
          <w:sz w:val="26"/>
          <w:szCs w:val="26"/>
        </w:rPr>
        <w:t xml:space="preserve">Rau má </w:t>
      </w:r>
      <w:r w:rsidR="002709F9">
        <w:rPr>
          <w:rFonts w:ascii="Times New Roman" w:hAnsi="Times New Roman" w:cs="Times New Roman"/>
          <w:sz w:val="26"/>
          <w:szCs w:val="26"/>
        </w:rPr>
        <w:t xml:space="preserve">VietGAP </w:t>
      </w:r>
      <w:r w:rsidR="0034551F">
        <w:rPr>
          <w:rFonts w:ascii="Times New Roman" w:hAnsi="Times New Roman" w:cs="Times New Roman"/>
          <w:sz w:val="26"/>
          <w:szCs w:val="26"/>
        </w:rPr>
        <w:t>được tiêu thụ ở thị trường trong tỉnh và những tỉnh l</w:t>
      </w:r>
      <w:r w:rsidR="002709F9">
        <w:rPr>
          <w:rFonts w:ascii="Times New Roman" w:hAnsi="Times New Roman" w:cs="Times New Roman"/>
          <w:sz w:val="26"/>
          <w:szCs w:val="26"/>
        </w:rPr>
        <w:t>ân</w:t>
      </w:r>
      <w:r w:rsidR="0034551F">
        <w:rPr>
          <w:rFonts w:ascii="Times New Roman" w:hAnsi="Times New Roman" w:cs="Times New Roman"/>
          <w:sz w:val="26"/>
          <w:szCs w:val="26"/>
        </w:rPr>
        <w:t xml:space="preserve"> cận </w:t>
      </w:r>
      <w:r w:rsidR="00F014C0">
        <w:rPr>
          <w:rFonts w:ascii="Times New Roman" w:hAnsi="Times New Roman" w:cs="Times New Roman"/>
          <w:sz w:val="26"/>
          <w:szCs w:val="26"/>
        </w:rPr>
        <w:t>như</w:t>
      </w:r>
      <w:r>
        <w:rPr>
          <w:rFonts w:ascii="Times New Roman" w:hAnsi="Times New Roman" w:cs="Times New Roman"/>
          <w:sz w:val="26"/>
          <w:szCs w:val="26"/>
        </w:rPr>
        <w:t>:</w:t>
      </w:r>
      <w:r w:rsidR="00F014C0">
        <w:rPr>
          <w:rFonts w:ascii="Times New Roman" w:hAnsi="Times New Roman" w:cs="Times New Roman"/>
          <w:sz w:val="26"/>
          <w:szCs w:val="26"/>
        </w:rPr>
        <w:t xml:space="preserve"> Đà Nẵng, Quảng Nam, Quảng ngãi, Phú Yên, Khánh Hòa </w:t>
      </w:r>
      <w:r w:rsidR="002709F9">
        <w:rPr>
          <w:rFonts w:ascii="Times New Roman" w:hAnsi="Times New Roman" w:cs="Times New Roman"/>
          <w:sz w:val="26"/>
          <w:szCs w:val="26"/>
        </w:rPr>
        <w:t xml:space="preserve">dưới hai dạng là rau má tươi và trà rau má. </w:t>
      </w:r>
      <w:r w:rsidR="00A14B67">
        <w:rPr>
          <w:rFonts w:ascii="Times New Roman" w:hAnsi="Times New Roman" w:cs="Times New Roman"/>
          <w:sz w:val="26"/>
          <w:szCs w:val="26"/>
        </w:rPr>
        <w:t xml:space="preserve">Trong những năm qua, rau má VietGAP ở Quảng Điền đã từng bước khẳng định được </w:t>
      </w:r>
      <w:r w:rsidR="002709F9">
        <w:rPr>
          <w:rFonts w:ascii="Times New Roman" w:hAnsi="Times New Roman" w:cs="Times New Roman"/>
          <w:sz w:val="26"/>
          <w:szCs w:val="26"/>
        </w:rPr>
        <w:t xml:space="preserve">chất lượng và </w:t>
      </w:r>
      <w:r w:rsidR="00A14B67">
        <w:rPr>
          <w:rFonts w:ascii="Times New Roman" w:hAnsi="Times New Roman" w:cs="Times New Roman"/>
          <w:sz w:val="26"/>
          <w:szCs w:val="26"/>
        </w:rPr>
        <w:t xml:space="preserve">thương hiệu trên thị trường trong và ngoài tỉnh. </w:t>
      </w:r>
      <w:r w:rsidR="00FF6DB9">
        <w:rPr>
          <w:rFonts w:ascii="Times New Roman" w:hAnsi="Times New Roman" w:cs="Times New Roman"/>
          <w:sz w:val="26"/>
          <w:szCs w:val="26"/>
        </w:rPr>
        <w:t>Mặc dù được xác định là cây trồng mang lại hiệu quả kinh tế cao, nhưng vấn đề đặt ra là người sản xuất rau má VietGAP đã thực sự đạt hiệu quả kinh tế chưa</w:t>
      </w:r>
      <w:r>
        <w:rPr>
          <w:rFonts w:ascii="Times New Roman" w:hAnsi="Times New Roman" w:cs="Times New Roman"/>
          <w:sz w:val="26"/>
          <w:szCs w:val="26"/>
        </w:rPr>
        <w:t>,</w:t>
      </w:r>
      <w:r w:rsidR="00FF6DB9">
        <w:rPr>
          <w:rFonts w:ascii="Times New Roman" w:hAnsi="Times New Roman" w:cs="Times New Roman"/>
          <w:sz w:val="26"/>
          <w:szCs w:val="26"/>
        </w:rPr>
        <w:t xml:space="preserve"> khi phần lớn sản phẩm rau má VietGAP sản xuất ra người sản xuất phải tự tìm nguồn tiêu thụ, tỷ lệ sản phẩm được ký hợp đồng thu mua mới chiếm </w:t>
      </w:r>
      <w:r w:rsidR="00AE2FD2">
        <w:rPr>
          <w:rFonts w:ascii="Times New Roman" w:hAnsi="Times New Roman" w:cs="Times New Roman"/>
          <w:sz w:val="26"/>
          <w:szCs w:val="26"/>
        </w:rPr>
        <w:t xml:space="preserve">gần </w:t>
      </w:r>
      <w:r w:rsidR="00FF6DB9">
        <w:rPr>
          <w:rFonts w:ascii="Times New Roman" w:hAnsi="Times New Roman" w:cs="Times New Roman"/>
          <w:sz w:val="26"/>
          <w:szCs w:val="26"/>
        </w:rPr>
        <w:t xml:space="preserve">30%, giá sản phẩm thường xuyên biến động đã ảnh hưởng không nhỏ đến thu nhập của người sản xuất. Chính vì vậy, việc nghiên cứu và tìm ra những giải pháp nhằm phát triển sản xuất rau má VietGAP tại huyện Quảng Điền một cách </w:t>
      </w:r>
      <w:r w:rsidR="008F6F67">
        <w:rPr>
          <w:rFonts w:ascii="Times New Roman" w:hAnsi="Times New Roman" w:cs="Times New Roman"/>
          <w:sz w:val="26"/>
          <w:szCs w:val="26"/>
        </w:rPr>
        <w:t xml:space="preserve">hiệu quả và </w:t>
      </w:r>
      <w:r w:rsidR="00FF6DB9">
        <w:rPr>
          <w:rFonts w:ascii="Times New Roman" w:hAnsi="Times New Roman" w:cs="Times New Roman"/>
          <w:sz w:val="26"/>
          <w:szCs w:val="26"/>
        </w:rPr>
        <w:t>bền vững là vấn đề cấp thiết hiện nay.</w:t>
      </w:r>
    </w:p>
    <w:p w14:paraId="1637E41F" w14:textId="1B3B2541" w:rsidR="00BE3A56" w:rsidRPr="00BE3A56" w:rsidRDefault="00BE3A56" w:rsidP="00BE3A56">
      <w:pPr>
        <w:spacing w:after="0" w:line="360" w:lineRule="auto"/>
        <w:jc w:val="both"/>
        <w:rPr>
          <w:rFonts w:ascii="Times New Roman" w:hAnsi="Times New Roman" w:cs="Times New Roman"/>
          <w:b/>
          <w:bCs/>
          <w:sz w:val="26"/>
          <w:szCs w:val="26"/>
        </w:rPr>
      </w:pPr>
      <w:r w:rsidRPr="00BE3A56">
        <w:rPr>
          <w:rFonts w:ascii="Times New Roman" w:hAnsi="Times New Roman" w:cs="Times New Roman"/>
          <w:b/>
          <w:bCs/>
          <w:sz w:val="26"/>
          <w:szCs w:val="26"/>
        </w:rPr>
        <w:t>PHƯƠNG PHÁP NGHIÊN CỨU</w:t>
      </w:r>
    </w:p>
    <w:p w14:paraId="04CDB358" w14:textId="1210DFEE" w:rsidR="00BE3A56" w:rsidRPr="00941FD8" w:rsidRDefault="00AB6379" w:rsidP="00AB637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Nghiên cứu</w:t>
      </w:r>
      <w:r w:rsidR="00BE3A56">
        <w:rPr>
          <w:rFonts w:ascii="Times New Roman" w:hAnsi="Times New Roman" w:cs="Times New Roman"/>
          <w:sz w:val="26"/>
          <w:szCs w:val="26"/>
        </w:rPr>
        <w:t xml:space="preserve"> tiến hành khảo sát </w:t>
      </w:r>
      <w:r w:rsidR="00B40BC4">
        <w:rPr>
          <w:rFonts w:ascii="Times New Roman" w:hAnsi="Times New Roman" w:cs="Times New Roman"/>
          <w:sz w:val="26"/>
          <w:szCs w:val="26"/>
        </w:rPr>
        <w:t>75</w:t>
      </w:r>
      <w:r w:rsidR="00BE3A56">
        <w:rPr>
          <w:rFonts w:ascii="Times New Roman" w:hAnsi="Times New Roman" w:cs="Times New Roman"/>
          <w:sz w:val="26"/>
          <w:szCs w:val="26"/>
        </w:rPr>
        <w:t xml:space="preserve"> hộ sản xuất rau má </w:t>
      </w:r>
      <w:r>
        <w:rPr>
          <w:rFonts w:ascii="Times New Roman" w:hAnsi="Times New Roman" w:cs="Times New Roman"/>
          <w:sz w:val="26"/>
          <w:szCs w:val="26"/>
        </w:rPr>
        <w:t>(</w:t>
      </w:r>
      <w:r w:rsidR="00BE3A56">
        <w:rPr>
          <w:rFonts w:ascii="Times New Roman" w:hAnsi="Times New Roman" w:cs="Times New Roman"/>
          <w:sz w:val="26"/>
          <w:szCs w:val="26"/>
        </w:rPr>
        <w:t xml:space="preserve">bao gồm </w:t>
      </w:r>
      <w:r w:rsidR="00CE0134">
        <w:rPr>
          <w:rFonts w:ascii="Times New Roman" w:hAnsi="Times New Roman" w:cs="Times New Roman"/>
          <w:sz w:val="26"/>
          <w:szCs w:val="26"/>
        </w:rPr>
        <w:t>6</w:t>
      </w:r>
      <w:r w:rsidR="00BE3A56">
        <w:rPr>
          <w:rFonts w:ascii="Times New Roman" w:hAnsi="Times New Roman" w:cs="Times New Roman"/>
          <w:sz w:val="26"/>
          <w:szCs w:val="26"/>
        </w:rPr>
        <w:t xml:space="preserve">0 hộ sản xuất rau má VietGAP và </w:t>
      </w:r>
      <w:r w:rsidR="00B40BC4">
        <w:rPr>
          <w:rFonts w:ascii="Times New Roman" w:hAnsi="Times New Roman" w:cs="Times New Roman"/>
          <w:sz w:val="26"/>
          <w:szCs w:val="26"/>
        </w:rPr>
        <w:t>15</w:t>
      </w:r>
      <w:r w:rsidR="00BE3A56">
        <w:rPr>
          <w:rFonts w:ascii="Times New Roman" w:hAnsi="Times New Roman" w:cs="Times New Roman"/>
          <w:sz w:val="26"/>
          <w:szCs w:val="26"/>
        </w:rPr>
        <w:t xml:space="preserve"> hộ sản xuất rau má truyền thống</w:t>
      </w:r>
      <w:r>
        <w:rPr>
          <w:rFonts w:ascii="Times New Roman" w:hAnsi="Times New Roman" w:cs="Times New Roman"/>
          <w:sz w:val="26"/>
          <w:szCs w:val="26"/>
        </w:rPr>
        <w:t>) tại huyện Quảng Điền</w:t>
      </w:r>
      <w:r w:rsidR="00BE3A56">
        <w:rPr>
          <w:rFonts w:ascii="Times New Roman" w:hAnsi="Times New Roman" w:cs="Times New Roman"/>
          <w:sz w:val="26"/>
          <w:szCs w:val="26"/>
        </w:rPr>
        <w:t>. Các hộ sản xuất rau má được lựa chọn ngẫu nhiên.</w:t>
      </w:r>
      <w:r>
        <w:rPr>
          <w:rFonts w:ascii="Times New Roman" w:hAnsi="Times New Roman" w:cs="Times New Roman"/>
          <w:sz w:val="26"/>
          <w:szCs w:val="26"/>
        </w:rPr>
        <w:t xml:space="preserve"> Khảo sát được thực hiện trong năm 2019. Nghien cứu sử dụng </w:t>
      </w:r>
      <w:r w:rsidR="000904CF">
        <w:rPr>
          <w:rFonts w:ascii="Times New Roman" w:hAnsi="Times New Roman" w:cs="Times New Roman"/>
          <w:sz w:val="26"/>
          <w:szCs w:val="26"/>
        </w:rPr>
        <w:t>phương pháp thống kê mô tả, so sán</w:t>
      </w:r>
      <w:r w:rsidR="00AF3613">
        <w:rPr>
          <w:rFonts w:ascii="Times New Roman" w:hAnsi="Times New Roman" w:cs="Times New Roman"/>
          <w:sz w:val="26"/>
          <w:szCs w:val="26"/>
        </w:rPr>
        <w:t xml:space="preserve">h </w:t>
      </w:r>
      <w:r w:rsidR="000904CF">
        <w:rPr>
          <w:rFonts w:ascii="Times New Roman" w:hAnsi="Times New Roman" w:cs="Times New Roman"/>
          <w:sz w:val="26"/>
          <w:szCs w:val="26"/>
        </w:rPr>
        <w:t>được sử dụng</w:t>
      </w:r>
      <w:r w:rsidR="00F41F45">
        <w:rPr>
          <w:rFonts w:ascii="Times New Roman" w:hAnsi="Times New Roman" w:cs="Times New Roman"/>
          <w:sz w:val="26"/>
          <w:szCs w:val="26"/>
        </w:rPr>
        <w:t xml:space="preserve"> để phân tích số liệu</w:t>
      </w:r>
      <w:r w:rsidR="000904CF">
        <w:rPr>
          <w:rFonts w:ascii="Times New Roman" w:hAnsi="Times New Roman" w:cs="Times New Roman"/>
          <w:sz w:val="26"/>
          <w:szCs w:val="26"/>
        </w:rPr>
        <w:t>.</w:t>
      </w:r>
      <w:r w:rsidR="00F41F45">
        <w:rPr>
          <w:rFonts w:ascii="Times New Roman" w:hAnsi="Times New Roman" w:cs="Times New Roman"/>
          <w:sz w:val="26"/>
          <w:szCs w:val="26"/>
        </w:rPr>
        <w:t xml:space="preserve"> </w:t>
      </w:r>
      <w:r w:rsidR="008D7C67">
        <w:rPr>
          <w:rFonts w:ascii="Times New Roman" w:hAnsi="Times New Roman" w:cs="Times New Roman"/>
          <w:sz w:val="26"/>
          <w:szCs w:val="26"/>
        </w:rPr>
        <w:t>Phương pháp hoạch toán tài chính được sử dụng để phân tích hiệu quả kinh tế hoạt động sản xuất rau má</w:t>
      </w:r>
      <w:r w:rsidR="00AF3613">
        <w:rPr>
          <w:rFonts w:ascii="Times New Roman" w:hAnsi="Times New Roman" w:cs="Times New Roman"/>
          <w:sz w:val="26"/>
          <w:szCs w:val="26"/>
        </w:rPr>
        <w:t xml:space="preserve"> VietGAP</w:t>
      </w:r>
      <w:r w:rsidR="008D7C67">
        <w:rPr>
          <w:rFonts w:ascii="Times New Roman" w:hAnsi="Times New Roman" w:cs="Times New Roman"/>
          <w:sz w:val="26"/>
          <w:szCs w:val="26"/>
        </w:rPr>
        <w:t>.</w:t>
      </w:r>
    </w:p>
    <w:p w14:paraId="530A82E9" w14:textId="43D235E2" w:rsidR="00AB6379" w:rsidRDefault="00AB6379" w:rsidP="00B2567C">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KẾT QUẢ NGHIÊN CỨU</w:t>
      </w:r>
    </w:p>
    <w:p w14:paraId="736FFF2B" w14:textId="75C02DBF" w:rsidR="002D4AB6" w:rsidRPr="00A92658" w:rsidRDefault="00AB6379" w:rsidP="00B2567C">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Thực trạng sản xuất rau má VietGAP</w:t>
      </w:r>
    </w:p>
    <w:p w14:paraId="3BF40435" w14:textId="099C93FE" w:rsidR="00015803" w:rsidRPr="00A92658" w:rsidRDefault="00015803" w:rsidP="00B2567C">
      <w:pPr>
        <w:spacing w:after="0" w:line="360" w:lineRule="auto"/>
        <w:jc w:val="both"/>
        <w:rPr>
          <w:rFonts w:ascii="Times New Roman" w:hAnsi="Times New Roman" w:cs="Times New Roman"/>
          <w:b/>
          <w:bCs/>
          <w:sz w:val="26"/>
          <w:szCs w:val="26"/>
        </w:rPr>
      </w:pPr>
      <w:r w:rsidRPr="00A92658">
        <w:rPr>
          <w:rFonts w:ascii="Times New Roman" w:hAnsi="Times New Roman" w:cs="Times New Roman"/>
          <w:b/>
          <w:bCs/>
          <w:sz w:val="26"/>
          <w:szCs w:val="26"/>
        </w:rPr>
        <w:t xml:space="preserve">Diện tích, năng suất, sản lượng rau má </w:t>
      </w:r>
      <w:r w:rsidR="00467B15">
        <w:rPr>
          <w:rFonts w:ascii="Times New Roman" w:hAnsi="Times New Roman" w:cs="Times New Roman"/>
          <w:b/>
          <w:bCs/>
          <w:sz w:val="26"/>
          <w:szCs w:val="26"/>
        </w:rPr>
        <w:t>VietGAP</w:t>
      </w:r>
    </w:p>
    <w:p w14:paraId="6E443231" w14:textId="236FD84D" w:rsidR="00A92658" w:rsidRDefault="00990408" w:rsidP="00990408">
      <w:pPr>
        <w:pStyle w:val="BodyText"/>
        <w:spacing w:line="360" w:lineRule="auto"/>
        <w:ind w:right="4" w:firstLine="566"/>
        <w:jc w:val="both"/>
      </w:pPr>
      <w:r>
        <w:t xml:space="preserve">Tình hình diện tích, năng suất và sản lượng rau má </w:t>
      </w:r>
      <w:r w:rsidR="00FD0248">
        <w:t xml:space="preserve">và rau má VietGAP của huyện Quảng Điền </w:t>
      </w:r>
      <w:r>
        <w:t>giai đoạn 201</w:t>
      </w:r>
      <w:r w:rsidR="00264F68">
        <w:t>7</w:t>
      </w:r>
      <w:r>
        <w:t xml:space="preserve"> – 201</w:t>
      </w:r>
      <w:r w:rsidR="00264F68">
        <w:t>9</w:t>
      </w:r>
      <w:r>
        <w:t xml:space="preserve"> được thể hiện qua số liệu Bảng 1.</w:t>
      </w:r>
    </w:p>
    <w:p w14:paraId="3A0137C8" w14:textId="77777777" w:rsidR="00C644F0" w:rsidRDefault="00C23B73" w:rsidP="00C644F0">
      <w:pPr>
        <w:pStyle w:val="BodyText"/>
        <w:ind w:left="221" w:right="6"/>
        <w:jc w:val="center"/>
        <w:rPr>
          <w:b/>
          <w:bCs/>
        </w:rPr>
      </w:pPr>
      <w:r w:rsidRPr="00990408">
        <w:rPr>
          <w:b/>
          <w:bCs/>
        </w:rPr>
        <w:t xml:space="preserve">Bảng 1. </w:t>
      </w:r>
      <w:r w:rsidR="00015803" w:rsidRPr="00990408">
        <w:rPr>
          <w:b/>
          <w:bCs/>
        </w:rPr>
        <w:t>Diện tích, năng suất, sản lượng</w:t>
      </w:r>
      <w:r w:rsidRPr="00990408">
        <w:rPr>
          <w:b/>
          <w:bCs/>
        </w:rPr>
        <w:t xml:space="preserve"> rau má </w:t>
      </w:r>
      <w:r w:rsidR="00990408" w:rsidRPr="00990408">
        <w:rPr>
          <w:b/>
          <w:bCs/>
        </w:rPr>
        <w:t xml:space="preserve">VietGAP </w:t>
      </w:r>
      <w:r w:rsidRPr="00990408">
        <w:rPr>
          <w:b/>
          <w:bCs/>
        </w:rPr>
        <w:t xml:space="preserve"> huyện Quảng Điền</w:t>
      </w:r>
      <w:r w:rsidR="00015803" w:rsidRPr="00990408">
        <w:rPr>
          <w:b/>
          <w:bCs/>
        </w:rPr>
        <w:t xml:space="preserve"> </w:t>
      </w:r>
    </w:p>
    <w:p w14:paraId="51FFC8A9" w14:textId="352A7CC4" w:rsidR="00C23B73" w:rsidRDefault="00015803" w:rsidP="00C644F0">
      <w:pPr>
        <w:pStyle w:val="BodyText"/>
        <w:ind w:left="221" w:right="6"/>
        <w:jc w:val="center"/>
        <w:rPr>
          <w:b/>
          <w:bCs/>
        </w:rPr>
      </w:pPr>
      <w:r w:rsidRPr="00990408">
        <w:rPr>
          <w:b/>
          <w:bCs/>
        </w:rPr>
        <w:t>giai đoạn 201</w:t>
      </w:r>
      <w:r w:rsidR="000F0ED3">
        <w:rPr>
          <w:b/>
          <w:bCs/>
        </w:rPr>
        <w:t>7</w:t>
      </w:r>
      <w:r w:rsidRPr="00990408">
        <w:rPr>
          <w:b/>
          <w:bCs/>
        </w:rPr>
        <w:t xml:space="preserve"> -201</w:t>
      </w:r>
      <w:r w:rsidR="000F0ED3">
        <w:rPr>
          <w:b/>
          <w:bCs/>
        </w:rPr>
        <w:t>9</w:t>
      </w:r>
    </w:p>
    <w:p w14:paraId="76CF6122" w14:textId="77777777" w:rsidR="00C04899" w:rsidRPr="00990408" w:rsidRDefault="00C04899" w:rsidP="00C04899">
      <w:pPr>
        <w:pStyle w:val="BodyText"/>
        <w:ind w:left="221" w:right="6"/>
        <w:jc w:val="center"/>
        <w:rPr>
          <w:b/>
          <w:bCs/>
        </w:rPr>
      </w:pPr>
    </w:p>
    <w:tbl>
      <w:tblPr>
        <w:tblStyle w:val="TableGrid"/>
        <w:tblW w:w="9211"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899"/>
        <w:gridCol w:w="896"/>
        <w:gridCol w:w="905"/>
        <w:gridCol w:w="905"/>
        <w:gridCol w:w="905"/>
        <w:gridCol w:w="935"/>
        <w:gridCol w:w="903"/>
        <w:gridCol w:w="903"/>
        <w:gridCol w:w="905"/>
      </w:tblGrid>
      <w:tr w:rsidR="00015803" w14:paraId="626354F8" w14:textId="77777777" w:rsidTr="002E2C30">
        <w:tc>
          <w:tcPr>
            <w:tcW w:w="1055" w:type="dxa"/>
            <w:vMerge w:val="restart"/>
            <w:tcBorders>
              <w:top w:val="single" w:sz="4" w:space="0" w:color="auto"/>
            </w:tcBorders>
          </w:tcPr>
          <w:p w14:paraId="72ED2849" w14:textId="2342965D" w:rsidR="00015803" w:rsidRPr="00015803" w:rsidRDefault="00015803" w:rsidP="00015803">
            <w:pPr>
              <w:pStyle w:val="BodyText"/>
              <w:ind w:right="6"/>
              <w:jc w:val="center"/>
              <w:rPr>
                <w:b/>
                <w:bCs/>
                <w:sz w:val="22"/>
                <w:szCs w:val="22"/>
              </w:rPr>
            </w:pPr>
            <w:r w:rsidRPr="00015803">
              <w:rPr>
                <w:b/>
                <w:bCs/>
                <w:sz w:val="22"/>
                <w:szCs w:val="22"/>
              </w:rPr>
              <w:t>Năm</w:t>
            </w:r>
          </w:p>
        </w:tc>
        <w:tc>
          <w:tcPr>
            <w:tcW w:w="2700" w:type="dxa"/>
            <w:gridSpan w:val="3"/>
            <w:tcBorders>
              <w:top w:val="single" w:sz="4" w:space="0" w:color="auto"/>
              <w:bottom w:val="single" w:sz="4" w:space="0" w:color="auto"/>
            </w:tcBorders>
          </w:tcPr>
          <w:p w14:paraId="16D54BB6" w14:textId="02DB24F3" w:rsidR="00015803" w:rsidRPr="00015803" w:rsidRDefault="00015803" w:rsidP="00015803">
            <w:pPr>
              <w:pStyle w:val="BodyText"/>
              <w:ind w:right="6"/>
              <w:jc w:val="center"/>
              <w:rPr>
                <w:b/>
                <w:bCs/>
                <w:sz w:val="22"/>
                <w:szCs w:val="22"/>
              </w:rPr>
            </w:pPr>
            <w:r w:rsidRPr="00015803">
              <w:rPr>
                <w:b/>
                <w:bCs/>
                <w:sz w:val="22"/>
                <w:szCs w:val="22"/>
              </w:rPr>
              <w:t>Diện tích (Ha)</w:t>
            </w:r>
          </w:p>
        </w:tc>
        <w:tc>
          <w:tcPr>
            <w:tcW w:w="2745" w:type="dxa"/>
            <w:gridSpan w:val="3"/>
            <w:tcBorders>
              <w:top w:val="single" w:sz="4" w:space="0" w:color="auto"/>
              <w:bottom w:val="single" w:sz="4" w:space="0" w:color="auto"/>
            </w:tcBorders>
          </w:tcPr>
          <w:p w14:paraId="7CE5FA0E" w14:textId="5AD25FE6" w:rsidR="00015803" w:rsidRPr="00015803" w:rsidRDefault="00015803" w:rsidP="00015803">
            <w:pPr>
              <w:pStyle w:val="BodyText"/>
              <w:ind w:right="6"/>
              <w:jc w:val="center"/>
              <w:rPr>
                <w:b/>
                <w:bCs/>
                <w:sz w:val="22"/>
                <w:szCs w:val="22"/>
              </w:rPr>
            </w:pPr>
            <w:r w:rsidRPr="00015803">
              <w:rPr>
                <w:b/>
                <w:bCs/>
                <w:sz w:val="22"/>
                <w:szCs w:val="22"/>
              </w:rPr>
              <w:t>Năng suất (Tạ/Ha)</w:t>
            </w:r>
          </w:p>
        </w:tc>
        <w:tc>
          <w:tcPr>
            <w:tcW w:w="2711" w:type="dxa"/>
            <w:gridSpan w:val="3"/>
            <w:tcBorders>
              <w:top w:val="single" w:sz="4" w:space="0" w:color="auto"/>
              <w:bottom w:val="single" w:sz="4" w:space="0" w:color="auto"/>
            </w:tcBorders>
          </w:tcPr>
          <w:p w14:paraId="24D033E3" w14:textId="5E451948" w:rsidR="00015803" w:rsidRPr="00015803" w:rsidRDefault="00015803" w:rsidP="00015803">
            <w:pPr>
              <w:pStyle w:val="BodyText"/>
              <w:ind w:right="6"/>
              <w:jc w:val="center"/>
              <w:rPr>
                <w:b/>
                <w:bCs/>
                <w:sz w:val="22"/>
                <w:szCs w:val="22"/>
              </w:rPr>
            </w:pPr>
            <w:r w:rsidRPr="00015803">
              <w:rPr>
                <w:b/>
                <w:bCs/>
                <w:sz w:val="22"/>
                <w:szCs w:val="22"/>
              </w:rPr>
              <w:t>Sản lượng (Tấn)</w:t>
            </w:r>
          </w:p>
        </w:tc>
      </w:tr>
      <w:tr w:rsidR="00015803" w14:paraId="583779D4" w14:textId="77777777" w:rsidTr="002E2C30">
        <w:tc>
          <w:tcPr>
            <w:tcW w:w="1055" w:type="dxa"/>
            <w:vMerge/>
          </w:tcPr>
          <w:p w14:paraId="17BF8F34" w14:textId="77777777" w:rsidR="00015803" w:rsidRPr="00015803" w:rsidRDefault="00015803" w:rsidP="00015803">
            <w:pPr>
              <w:pStyle w:val="BodyText"/>
              <w:ind w:right="6"/>
              <w:jc w:val="center"/>
              <w:rPr>
                <w:b/>
                <w:bCs/>
                <w:sz w:val="22"/>
                <w:szCs w:val="22"/>
              </w:rPr>
            </w:pPr>
          </w:p>
        </w:tc>
        <w:tc>
          <w:tcPr>
            <w:tcW w:w="899" w:type="dxa"/>
            <w:vMerge w:val="restart"/>
            <w:tcBorders>
              <w:top w:val="single" w:sz="4" w:space="0" w:color="auto"/>
            </w:tcBorders>
          </w:tcPr>
          <w:p w14:paraId="2AE580F4" w14:textId="01376B71" w:rsidR="00015803" w:rsidRPr="00015803" w:rsidRDefault="00015803" w:rsidP="00015803">
            <w:pPr>
              <w:pStyle w:val="BodyText"/>
              <w:ind w:right="6"/>
              <w:jc w:val="center"/>
              <w:rPr>
                <w:b/>
                <w:bCs/>
                <w:sz w:val="22"/>
                <w:szCs w:val="22"/>
              </w:rPr>
            </w:pPr>
            <w:r w:rsidRPr="00015803">
              <w:rPr>
                <w:b/>
                <w:bCs/>
                <w:sz w:val="22"/>
                <w:szCs w:val="22"/>
              </w:rPr>
              <w:t>Tổng diện tích</w:t>
            </w:r>
          </w:p>
        </w:tc>
        <w:tc>
          <w:tcPr>
            <w:tcW w:w="1801" w:type="dxa"/>
            <w:gridSpan w:val="2"/>
            <w:tcBorders>
              <w:top w:val="single" w:sz="4" w:space="0" w:color="auto"/>
              <w:bottom w:val="single" w:sz="4" w:space="0" w:color="auto"/>
            </w:tcBorders>
          </w:tcPr>
          <w:p w14:paraId="6D04FEEF" w14:textId="2292DD75" w:rsidR="00015803" w:rsidRPr="00015803" w:rsidRDefault="00015803" w:rsidP="00015803">
            <w:pPr>
              <w:pStyle w:val="BodyText"/>
              <w:ind w:right="6"/>
              <w:jc w:val="center"/>
              <w:rPr>
                <w:b/>
                <w:bCs/>
                <w:sz w:val="22"/>
                <w:szCs w:val="22"/>
              </w:rPr>
            </w:pPr>
            <w:r w:rsidRPr="00015803">
              <w:rPr>
                <w:b/>
                <w:bCs/>
                <w:sz w:val="22"/>
                <w:szCs w:val="22"/>
              </w:rPr>
              <w:t>VietGAP</w:t>
            </w:r>
          </w:p>
        </w:tc>
        <w:tc>
          <w:tcPr>
            <w:tcW w:w="905" w:type="dxa"/>
            <w:vMerge w:val="restart"/>
            <w:tcBorders>
              <w:top w:val="single" w:sz="4" w:space="0" w:color="auto"/>
            </w:tcBorders>
          </w:tcPr>
          <w:p w14:paraId="73B50C9C" w14:textId="483FD658" w:rsidR="00015803" w:rsidRPr="00015803" w:rsidRDefault="00015803" w:rsidP="00015803">
            <w:pPr>
              <w:pStyle w:val="BodyText"/>
              <w:ind w:right="6"/>
              <w:jc w:val="center"/>
              <w:rPr>
                <w:b/>
                <w:bCs/>
                <w:sz w:val="22"/>
                <w:szCs w:val="22"/>
              </w:rPr>
            </w:pPr>
            <w:r w:rsidRPr="00015803">
              <w:rPr>
                <w:b/>
                <w:bCs/>
                <w:sz w:val="22"/>
                <w:szCs w:val="22"/>
              </w:rPr>
              <w:t>Năng suất bình quân</w:t>
            </w:r>
          </w:p>
        </w:tc>
        <w:tc>
          <w:tcPr>
            <w:tcW w:w="1840" w:type="dxa"/>
            <w:gridSpan w:val="2"/>
            <w:tcBorders>
              <w:top w:val="single" w:sz="4" w:space="0" w:color="auto"/>
              <w:bottom w:val="single" w:sz="4" w:space="0" w:color="auto"/>
            </w:tcBorders>
          </w:tcPr>
          <w:p w14:paraId="52014DA4" w14:textId="743EC6D5" w:rsidR="00015803" w:rsidRPr="00015803" w:rsidRDefault="00015803" w:rsidP="00015803">
            <w:pPr>
              <w:pStyle w:val="BodyText"/>
              <w:ind w:right="6"/>
              <w:jc w:val="center"/>
              <w:rPr>
                <w:b/>
                <w:bCs/>
                <w:sz w:val="22"/>
                <w:szCs w:val="22"/>
              </w:rPr>
            </w:pPr>
            <w:r w:rsidRPr="00015803">
              <w:rPr>
                <w:b/>
                <w:bCs/>
                <w:sz w:val="22"/>
                <w:szCs w:val="22"/>
              </w:rPr>
              <w:t>VietGAP</w:t>
            </w:r>
          </w:p>
        </w:tc>
        <w:tc>
          <w:tcPr>
            <w:tcW w:w="903" w:type="dxa"/>
            <w:vMerge w:val="restart"/>
            <w:tcBorders>
              <w:top w:val="single" w:sz="4" w:space="0" w:color="auto"/>
            </w:tcBorders>
          </w:tcPr>
          <w:p w14:paraId="170C7A6D" w14:textId="18D991CB" w:rsidR="00015803" w:rsidRPr="00015803" w:rsidRDefault="00015803" w:rsidP="00015803">
            <w:pPr>
              <w:pStyle w:val="BodyText"/>
              <w:ind w:right="6"/>
              <w:jc w:val="center"/>
              <w:rPr>
                <w:b/>
                <w:bCs/>
                <w:sz w:val="22"/>
                <w:szCs w:val="22"/>
              </w:rPr>
            </w:pPr>
            <w:r w:rsidRPr="00015803">
              <w:rPr>
                <w:b/>
                <w:bCs/>
                <w:sz w:val="22"/>
                <w:szCs w:val="22"/>
              </w:rPr>
              <w:t>Tổng sản lượng</w:t>
            </w:r>
          </w:p>
        </w:tc>
        <w:tc>
          <w:tcPr>
            <w:tcW w:w="1808" w:type="dxa"/>
            <w:gridSpan w:val="2"/>
            <w:tcBorders>
              <w:top w:val="single" w:sz="4" w:space="0" w:color="auto"/>
              <w:bottom w:val="single" w:sz="4" w:space="0" w:color="auto"/>
            </w:tcBorders>
          </w:tcPr>
          <w:p w14:paraId="1A7366B2" w14:textId="275EC427" w:rsidR="00015803" w:rsidRPr="00015803" w:rsidRDefault="00015803" w:rsidP="00015803">
            <w:pPr>
              <w:pStyle w:val="BodyText"/>
              <w:ind w:right="6"/>
              <w:jc w:val="center"/>
              <w:rPr>
                <w:b/>
                <w:bCs/>
                <w:sz w:val="22"/>
                <w:szCs w:val="22"/>
              </w:rPr>
            </w:pPr>
            <w:r w:rsidRPr="00015803">
              <w:rPr>
                <w:b/>
                <w:bCs/>
                <w:sz w:val="22"/>
                <w:szCs w:val="22"/>
              </w:rPr>
              <w:t>VietGAP</w:t>
            </w:r>
          </w:p>
        </w:tc>
      </w:tr>
      <w:tr w:rsidR="00015803" w14:paraId="69D4B80C" w14:textId="77777777" w:rsidTr="002E2C30">
        <w:tc>
          <w:tcPr>
            <w:tcW w:w="1055" w:type="dxa"/>
            <w:vMerge/>
            <w:tcBorders>
              <w:bottom w:val="single" w:sz="4" w:space="0" w:color="auto"/>
            </w:tcBorders>
          </w:tcPr>
          <w:p w14:paraId="63499893" w14:textId="77777777" w:rsidR="00015803" w:rsidRPr="00015803" w:rsidRDefault="00015803" w:rsidP="00015803">
            <w:pPr>
              <w:pStyle w:val="BodyText"/>
              <w:ind w:right="6"/>
              <w:jc w:val="center"/>
              <w:rPr>
                <w:b/>
                <w:bCs/>
                <w:sz w:val="22"/>
                <w:szCs w:val="22"/>
              </w:rPr>
            </w:pPr>
          </w:p>
        </w:tc>
        <w:tc>
          <w:tcPr>
            <w:tcW w:w="899" w:type="dxa"/>
            <w:vMerge/>
            <w:tcBorders>
              <w:bottom w:val="single" w:sz="4" w:space="0" w:color="auto"/>
            </w:tcBorders>
          </w:tcPr>
          <w:p w14:paraId="196F2216" w14:textId="77777777" w:rsidR="00015803" w:rsidRPr="00015803" w:rsidRDefault="00015803" w:rsidP="00015803">
            <w:pPr>
              <w:pStyle w:val="BodyText"/>
              <w:ind w:right="6"/>
              <w:jc w:val="center"/>
              <w:rPr>
                <w:b/>
                <w:bCs/>
                <w:sz w:val="22"/>
                <w:szCs w:val="22"/>
              </w:rPr>
            </w:pPr>
          </w:p>
        </w:tc>
        <w:tc>
          <w:tcPr>
            <w:tcW w:w="896" w:type="dxa"/>
            <w:tcBorders>
              <w:top w:val="single" w:sz="4" w:space="0" w:color="auto"/>
              <w:bottom w:val="single" w:sz="4" w:space="0" w:color="auto"/>
            </w:tcBorders>
          </w:tcPr>
          <w:p w14:paraId="577B61EF" w14:textId="1803DD52" w:rsidR="00015803" w:rsidRPr="00015803" w:rsidRDefault="00015803" w:rsidP="00015803">
            <w:pPr>
              <w:pStyle w:val="BodyText"/>
              <w:ind w:right="6"/>
              <w:jc w:val="center"/>
              <w:rPr>
                <w:b/>
                <w:bCs/>
                <w:sz w:val="22"/>
                <w:szCs w:val="22"/>
              </w:rPr>
            </w:pPr>
            <w:r w:rsidRPr="00015803">
              <w:rPr>
                <w:b/>
                <w:bCs/>
                <w:sz w:val="22"/>
                <w:szCs w:val="22"/>
              </w:rPr>
              <w:t>Diện tích</w:t>
            </w:r>
          </w:p>
        </w:tc>
        <w:tc>
          <w:tcPr>
            <w:tcW w:w="905" w:type="dxa"/>
            <w:tcBorders>
              <w:top w:val="single" w:sz="4" w:space="0" w:color="auto"/>
              <w:bottom w:val="single" w:sz="4" w:space="0" w:color="auto"/>
            </w:tcBorders>
          </w:tcPr>
          <w:p w14:paraId="3368F3A7" w14:textId="476502B4" w:rsidR="00015803" w:rsidRPr="00015803" w:rsidRDefault="00015803" w:rsidP="00015803">
            <w:pPr>
              <w:pStyle w:val="BodyText"/>
              <w:ind w:right="6"/>
              <w:jc w:val="center"/>
              <w:rPr>
                <w:b/>
                <w:bCs/>
                <w:sz w:val="22"/>
                <w:szCs w:val="22"/>
              </w:rPr>
            </w:pPr>
            <w:r w:rsidRPr="00015803">
              <w:rPr>
                <w:b/>
                <w:bCs/>
                <w:sz w:val="22"/>
                <w:szCs w:val="22"/>
              </w:rPr>
              <w:t>Tỷ trọng (%)</w:t>
            </w:r>
          </w:p>
        </w:tc>
        <w:tc>
          <w:tcPr>
            <w:tcW w:w="905" w:type="dxa"/>
            <w:vMerge/>
            <w:tcBorders>
              <w:bottom w:val="single" w:sz="4" w:space="0" w:color="auto"/>
            </w:tcBorders>
          </w:tcPr>
          <w:p w14:paraId="5C5821BC" w14:textId="77777777" w:rsidR="00015803" w:rsidRPr="00015803" w:rsidRDefault="00015803" w:rsidP="00015803">
            <w:pPr>
              <w:pStyle w:val="BodyText"/>
              <w:ind w:right="6"/>
              <w:jc w:val="center"/>
              <w:rPr>
                <w:b/>
                <w:bCs/>
                <w:sz w:val="22"/>
                <w:szCs w:val="22"/>
              </w:rPr>
            </w:pPr>
          </w:p>
        </w:tc>
        <w:tc>
          <w:tcPr>
            <w:tcW w:w="905" w:type="dxa"/>
            <w:tcBorders>
              <w:top w:val="single" w:sz="4" w:space="0" w:color="auto"/>
              <w:bottom w:val="single" w:sz="4" w:space="0" w:color="auto"/>
            </w:tcBorders>
          </w:tcPr>
          <w:p w14:paraId="3C1321DB" w14:textId="6FEDC0A5" w:rsidR="00015803" w:rsidRPr="00015803" w:rsidRDefault="00015803" w:rsidP="00015803">
            <w:pPr>
              <w:pStyle w:val="BodyText"/>
              <w:ind w:right="6"/>
              <w:jc w:val="center"/>
              <w:rPr>
                <w:b/>
                <w:bCs/>
                <w:sz w:val="22"/>
                <w:szCs w:val="22"/>
              </w:rPr>
            </w:pPr>
            <w:r w:rsidRPr="00015803">
              <w:rPr>
                <w:b/>
                <w:bCs/>
                <w:sz w:val="22"/>
                <w:szCs w:val="22"/>
              </w:rPr>
              <w:t>Năng suất</w:t>
            </w:r>
          </w:p>
        </w:tc>
        <w:tc>
          <w:tcPr>
            <w:tcW w:w="935" w:type="dxa"/>
            <w:tcBorders>
              <w:top w:val="single" w:sz="4" w:space="0" w:color="auto"/>
              <w:bottom w:val="single" w:sz="4" w:space="0" w:color="auto"/>
            </w:tcBorders>
          </w:tcPr>
          <w:p w14:paraId="4506B25D" w14:textId="0B00B8F2" w:rsidR="00015803" w:rsidRPr="00015803" w:rsidRDefault="00015803" w:rsidP="00015803">
            <w:pPr>
              <w:pStyle w:val="BodyText"/>
              <w:ind w:right="6"/>
              <w:jc w:val="center"/>
              <w:rPr>
                <w:b/>
                <w:bCs/>
                <w:sz w:val="22"/>
                <w:szCs w:val="22"/>
              </w:rPr>
            </w:pPr>
            <w:r w:rsidRPr="00015803">
              <w:rPr>
                <w:b/>
                <w:bCs/>
                <w:sz w:val="22"/>
                <w:szCs w:val="22"/>
              </w:rPr>
              <w:t>So sánh (%)</w:t>
            </w:r>
          </w:p>
        </w:tc>
        <w:tc>
          <w:tcPr>
            <w:tcW w:w="903" w:type="dxa"/>
            <w:vMerge/>
            <w:tcBorders>
              <w:bottom w:val="single" w:sz="4" w:space="0" w:color="auto"/>
            </w:tcBorders>
          </w:tcPr>
          <w:p w14:paraId="2CF57187" w14:textId="77777777" w:rsidR="00015803" w:rsidRPr="00015803" w:rsidRDefault="00015803" w:rsidP="00015803">
            <w:pPr>
              <w:pStyle w:val="BodyText"/>
              <w:ind w:right="6"/>
              <w:jc w:val="center"/>
              <w:rPr>
                <w:b/>
                <w:bCs/>
                <w:sz w:val="22"/>
                <w:szCs w:val="22"/>
              </w:rPr>
            </w:pPr>
          </w:p>
        </w:tc>
        <w:tc>
          <w:tcPr>
            <w:tcW w:w="903" w:type="dxa"/>
            <w:tcBorders>
              <w:top w:val="single" w:sz="4" w:space="0" w:color="auto"/>
              <w:bottom w:val="single" w:sz="4" w:space="0" w:color="auto"/>
            </w:tcBorders>
          </w:tcPr>
          <w:p w14:paraId="5F11166B" w14:textId="3ED969C4" w:rsidR="00015803" w:rsidRPr="00015803" w:rsidRDefault="00015803" w:rsidP="00015803">
            <w:pPr>
              <w:pStyle w:val="BodyText"/>
              <w:ind w:right="6"/>
              <w:jc w:val="center"/>
              <w:rPr>
                <w:b/>
                <w:bCs/>
                <w:sz w:val="22"/>
                <w:szCs w:val="22"/>
              </w:rPr>
            </w:pPr>
            <w:r w:rsidRPr="00015803">
              <w:rPr>
                <w:b/>
                <w:bCs/>
                <w:sz w:val="22"/>
                <w:szCs w:val="22"/>
              </w:rPr>
              <w:t>Sản lượng</w:t>
            </w:r>
          </w:p>
        </w:tc>
        <w:tc>
          <w:tcPr>
            <w:tcW w:w="905" w:type="dxa"/>
            <w:tcBorders>
              <w:top w:val="single" w:sz="4" w:space="0" w:color="auto"/>
              <w:bottom w:val="single" w:sz="4" w:space="0" w:color="auto"/>
            </w:tcBorders>
          </w:tcPr>
          <w:p w14:paraId="2D95E090" w14:textId="27D4EB3B" w:rsidR="00015803" w:rsidRPr="00015803" w:rsidRDefault="00015803" w:rsidP="00015803">
            <w:pPr>
              <w:pStyle w:val="BodyText"/>
              <w:ind w:right="6"/>
              <w:jc w:val="center"/>
              <w:rPr>
                <w:b/>
                <w:bCs/>
                <w:sz w:val="22"/>
                <w:szCs w:val="22"/>
              </w:rPr>
            </w:pPr>
            <w:r w:rsidRPr="00015803">
              <w:rPr>
                <w:b/>
                <w:bCs/>
                <w:sz w:val="22"/>
                <w:szCs w:val="22"/>
              </w:rPr>
              <w:t>Tỷ trọng (%)</w:t>
            </w:r>
          </w:p>
        </w:tc>
      </w:tr>
      <w:tr w:rsidR="00015803" w14:paraId="1A54E5AD" w14:textId="77777777" w:rsidTr="002E2C30">
        <w:tc>
          <w:tcPr>
            <w:tcW w:w="1055" w:type="dxa"/>
            <w:tcBorders>
              <w:top w:val="single" w:sz="4" w:space="0" w:color="auto"/>
            </w:tcBorders>
          </w:tcPr>
          <w:p w14:paraId="20A585FE" w14:textId="06A313E9" w:rsidR="00015803" w:rsidRDefault="00015803" w:rsidP="00015803">
            <w:pPr>
              <w:pStyle w:val="BodyText"/>
              <w:spacing w:line="360" w:lineRule="auto"/>
              <w:ind w:right="4"/>
              <w:jc w:val="center"/>
            </w:pPr>
            <w:r>
              <w:lastRenderedPageBreak/>
              <w:t>201</w:t>
            </w:r>
            <w:r w:rsidR="00264F68">
              <w:t>7</w:t>
            </w:r>
          </w:p>
        </w:tc>
        <w:tc>
          <w:tcPr>
            <w:tcW w:w="899" w:type="dxa"/>
            <w:tcBorders>
              <w:top w:val="single" w:sz="4" w:space="0" w:color="auto"/>
            </w:tcBorders>
          </w:tcPr>
          <w:p w14:paraId="09122EC1" w14:textId="1DBDCAC9" w:rsidR="00015803" w:rsidRDefault="00015803" w:rsidP="00990408">
            <w:pPr>
              <w:pStyle w:val="BodyText"/>
              <w:spacing w:line="360" w:lineRule="auto"/>
              <w:ind w:right="4"/>
              <w:jc w:val="center"/>
            </w:pPr>
            <w:r>
              <w:t>5</w:t>
            </w:r>
            <w:r w:rsidR="00264F68">
              <w:t>4</w:t>
            </w:r>
          </w:p>
        </w:tc>
        <w:tc>
          <w:tcPr>
            <w:tcW w:w="896" w:type="dxa"/>
            <w:tcBorders>
              <w:top w:val="single" w:sz="4" w:space="0" w:color="auto"/>
            </w:tcBorders>
          </w:tcPr>
          <w:p w14:paraId="19984E8C" w14:textId="6FCB645A" w:rsidR="00015803" w:rsidRDefault="00253836" w:rsidP="00990408">
            <w:pPr>
              <w:pStyle w:val="BodyText"/>
              <w:spacing w:line="360" w:lineRule="auto"/>
              <w:ind w:right="4"/>
              <w:jc w:val="center"/>
            </w:pPr>
            <w:r>
              <w:t>40</w:t>
            </w:r>
          </w:p>
        </w:tc>
        <w:tc>
          <w:tcPr>
            <w:tcW w:w="905" w:type="dxa"/>
            <w:tcBorders>
              <w:top w:val="single" w:sz="4" w:space="0" w:color="auto"/>
            </w:tcBorders>
          </w:tcPr>
          <w:p w14:paraId="030A1FB0" w14:textId="3F482F30" w:rsidR="00015803" w:rsidRDefault="00264F68" w:rsidP="00990408">
            <w:pPr>
              <w:pStyle w:val="BodyText"/>
              <w:spacing w:line="360" w:lineRule="auto"/>
              <w:ind w:right="4"/>
              <w:jc w:val="center"/>
            </w:pPr>
            <w:r>
              <w:t>74,07</w:t>
            </w:r>
          </w:p>
        </w:tc>
        <w:tc>
          <w:tcPr>
            <w:tcW w:w="905" w:type="dxa"/>
            <w:tcBorders>
              <w:top w:val="single" w:sz="4" w:space="0" w:color="auto"/>
            </w:tcBorders>
          </w:tcPr>
          <w:p w14:paraId="366E59B6" w14:textId="0F2F6907" w:rsidR="00015803" w:rsidRDefault="00264F68" w:rsidP="00990408">
            <w:pPr>
              <w:pStyle w:val="BodyText"/>
              <w:spacing w:line="360" w:lineRule="auto"/>
              <w:ind w:right="4"/>
              <w:jc w:val="center"/>
            </w:pPr>
            <w:r>
              <w:t>52,30</w:t>
            </w:r>
          </w:p>
        </w:tc>
        <w:tc>
          <w:tcPr>
            <w:tcW w:w="905" w:type="dxa"/>
            <w:tcBorders>
              <w:top w:val="single" w:sz="4" w:space="0" w:color="auto"/>
            </w:tcBorders>
          </w:tcPr>
          <w:p w14:paraId="42746C7E" w14:textId="04785831" w:rsidR="00015803" w:rsidRDefault="00264F68" w:rsidP="00990408">
            <w:pPr>
              <w:pStyle w:val="BodyText"/>
              <w:spacing w:line="360" w:lineRule="auto"/>
              <w:ind w:right="4"/>
              <w:jc w:val="center"/>
            </w:pPr>
            <w:r>
              <w:t>52,00</w:t>
            </w:r>
          </w:p>
        </w:tc>
        <w:tc>
          <w:tcPr>
            <w:tcW w:w="935" w:type="dxa"/>
            <w:tcBorders>
              <w:top w:val="single" w:sz="4" w:space="0" w:color="auto"/>
            </w:tcBorders>
          </w:tcPr>
          <w:p w14:paraId="0772F24C" w14:textId="2D1C4DC9" w:rsidR="00015803" w:rsidRDefault="00264F68" w:rsidP="00990408">
            <w:pPr>
              <w:pStyle w:val="BodyText"/>
              <w:spacing w:line="360" w:lineRule="auto"/>
              <w:ind w:right="4"/>
              <w:jc w:val="center"/>
            </w:pPr>
            <w:r>
              <w:t>99,43</w:t>
            </w:r>
          </w:p>
        </w:tc>
        <w:tc>
          <w:tcPr>
            <w:tcW w:w="903" w:type="dxa"/>
            <w:tcBorders>
              <w:top w:val="single" w:sz="4" w:space="0" w:color="auto"/>
            </w:tcBorders>
          </w:tcPr>
          <w:p w14:paraId="5FC5FCE3" w14:textId="0B159BB4" w:rsidR="00015803" w:rsidRDefault="00264F68" w:rsidP="00990408">
            <w:pPr>
              <w:pStyle w:val="BodyText"/>
              <w:spacing w:line="360" w:lineRule="auto"/>
              <w:ind w:right="4"/>
              <w:jc w:val="center"/>
            </w:pPr>
            <w:r>
              <w:t>2.824</w:t>
            </w:r>
          </w:p>
        </w:tc>
        <w:tc>
          <w:tcPr>
            <w:tcW w:w="903" w:type="dxa"/>
            <w:tcBorders>
              <w:top w:val="single" w:sz="4" w:space="0" w:color="auto"/>
            </w:tcBorders>
          </w:tcPr>
          <w:p w14:paraId="498381E8" w14:textId="4B8E99B0" w:rsidR="00015803" w:rsidRDefault="00264F68" w:rsidP="00990408">
            <w:pPr>
              <w:pStyle w:val="BodyText"/>
              <w:spacing w:line="360" w:lineRule="auto"/>
              <w:ind w:right="4"/>
              <w:jc w:val="center"/>
            </w:pPr>
            <w:r>
              <w:t>2.080</w:t>
            </w:r>
          </w:p>
        </w:tc>
        <w:tc>
          <w:tcPr>
            <w:tcW w:w="905" w:type="dxa"/>
            <w:tcBorders>
              <w:top w:val="single" w:sz="4" w:space="0" w:color="auto"/>
            </w:tcBorders>
          </w:tcPr>
          <w:p w14:paraId="551B7B45" w14:textId="044A2E7E" w:rsidR="00015803" w:rsidRDefault="00264F68" w:rsidP="00990408">
            <w:pPr>
              <w:pStyle w:val="BodyText"/>
              <w:spacing w:line="360" w:lineRule="auto"/>
              <w:ind w:right="4"/>
              <w:jc w:val="center"/>
            </w:pPr>
            <w:r>
              <w:t>73,65</w:t>
            </w:r>
          </w:p>
        </w:tc>
      </w:tr>
      <w:tr w:rsidR="00015803" w14:paraId="55AF0C42" w14:textId="77777777" w:rsidTr="002E2C30">
        <w:tc>
          <w:tcPr>
            <w:tcW w:w="1055" w:type="dxa"/>
          </w:tcPr>
          <w:p w14:paraId="6628950A" w14:textId="55F0FBC7" w:rsidR="00015803" w:rsidRDefault="00015803" w:rsidP="00015803">
            <w:pPr>
              <w:pStyle w:val="BodyText"/>
              <w:spacing w:line="360" w:lineRule="auto"/>
              <w:ind w:right="4"/>
              <w:jc w:val="center"/>
            </w:pPr>
            <w:r>
              <w:t>201</w:t>
            </w:r>
            <w:r w:rsidR="00264F68">
              <w:t>8</w:t>
            </w:r>
          </w:p>
        </w:tc>
        <w:tc>
          <w:tcPr>
            <w:tcW w:w="899" w:type="dxa"/>
          </w:tcPr>
          <w:p w14:paraId="3DEA9599" w14:textId="2AC5728F" w:rsidR="00015803" w:rsidRDefault="00015803" w:rsidP="00990408">
            <w:pPr>
              <w:pStyle w:val="BodyText"/>
              <w:spacing w:line="360" w:lineRule="auto"/>
              <w:ind w:right="4"/>
              <w:jc w:val="center"/>
            </w:pPr>
            <w:r>
              <w:t>5</w:t>
            </w:r>
            <w:r w:rsidR="00264F68">
              <w:t>5</w:t>
            </w:r>
          </w:p>
        </w:tc>
        <w:tc>
          <w:tcPr>
            <w:tcW w:w="896" w:type="dxa"/>
          </w:tcPr>
          <w:p w14:paraId="6B79D6D0" w14:textId="711CA746" w:rsidR="00015803" w:rsidRDefault="00015803" w:rsidP="00990408">
            <w:pPr>
              <w:pStyle w:val="BodyText"/>
              <w:spacing w:line="360" w:lineRule="auto"/>
              <w:ind w:right="4"/>
              <w:jc w:val="center"/>
            </w:pPr>
            <w:r>
              <w:t>40</w:t>
            </w:r>
          </w:p>
        </w:tc>
        <w:tc>
          <w:tcPr>
            <w:tcW w:w="905" w:type="dxa"/>
          </w:tcPr>
          <w:p w14:paraId="3C32C74C" w14:textId="7B301988" w:rsidR="00015803" w:rsidRDefault="00264F68" w:rsidP="00990408">
            <w:pPr>
              <w:pStyle w:val="BodyText"/>
              <w:spacing w:line="360" w:lineRule="auto"/>
              <w:ind w:right="4"/>
              <w:jc w:val="center"/>
            </w:pPr>
            <w:r>
              <w:t>72,73</w:t>
            </w:r>
          </w:p>
        </w:tc>
        <w:tc>
          <w:tcPr>
            <w:tcW w:w="905" w:type="dxa"/>
          </w:tcPr>
          <w:p w14:paraId="03149172" w14:textId="6431B9B1" w:rsidR="00015803" w:rsidRDefault="00264F68" w:rsidP="00990408">
            <w:pPr>
              <w:pStyle w:val="BodyText"/>
              <w:spacing w:line="360" w:lineRule="auto"/>
              <w:ind w:right="4"/>
              <w:jc w:val="center"/>
            </w:pPr>
            <w:r>
              <w:t>51,82</w:t>
            </w:r>
          </w:p>
        </w:tc>
        <w:tc>
          <w:tcPr>
            <w:tcW w:w="905" w:type="dxa"/>
          </w:tcPr>
          <w:p w14:paraId="471C65EE" w14:textId="0A8FBE4B" w:rsidR="00015803" w:rsidRDefault="00264F68" w:rsidP="00990408">
            <w:pPr>
              <w:pStyle w:val="BodyText"/>
              <w:spacing w:line="360" w:lineRule="auto"/>
              <w:ind w:right="4"/>
              <w:jc w:val="center"/>
            </w:pPr>
            <w:r>
              <w:t>50,00</w:t>
            </w:r>
          </w:p>
        </w:tc>
        <w:tc>
          <w:tcPr>
            <w:tcW w:w="935" w:type="dxa"/>
          </w:tcPr>
          <w:p w14:paraId="277F390D" w14:textId="794C5DBA" w:rsidR="00015803" w:rsidRDefault="00264F68" w:rsidP="00990408">
            <w:pPr>
              <w:pStyle w:val="BodyText"/>
              <w:spacing w:line="360" w:lineRule="auto"/>
              <w:ind w:right="4"/>
              <w:jc w:val="center"/>
            </w:pPr>
            <w:r>
              <w:t>96,49</w:t>
            </w:r>
          </w:p>
        </w:tc>
        <w:tc>
          <w:tcPr>
            <w:tcW w:w="903" w:type="dxa"/>
          </w:tcPr>
          <w:p w14:paraId="56BC6D2E" w14:textId="29C1CE57" w:rsidR="00015803" w:rsidRDefault="00264F68" w:rsidP="00990408">
            <w:pPr>
              <w:pStyle w:val="BodyText"/>
              <w:spacing w:line="360" w:lineRule="auto"/>
              <w:ind w:right="4"/>
              <w:jc w:val="center"/>
            </w:pPr>
            <w:r>
              <w:t>2.850</w:t>
            </w:r>
          </w:p>
        </w:tc>
        <w:tc>
          <w:tcPr>
            <w:tcW w:w="903" w:type="dxa"/>
          </w:tcPr>
          <w:p w14:paraId="15B5662A" w14:textId="56A28928" w:rsidR="00015803" w:rsidRDefault="00264F68" w:rsidP="00990408">
            <w:pPr>
              <w:pStyle w:val="BodyText"/>
              <w:spacing w:line="360" w:lineRule="auto"/>
              <w:ind w:right="4"/>
              <w:jc w:val="center"/>
            </w:pPr>
            <w:r>
              <w:t>2.000</w:t>
            </w:r>
          </w:p>
        </w:tc>
        <w:tc>
          <w:tcPr>
            <w:tcW w:w="905" w:type="dxa"/>
          </w:tcPr>
          <w:p w14:paraId="6B1D14AC" w14:textId="1B85E067" w:rsidR="00015803" w:rsidRDefault="00264F68" w:rsidP="00990408">
            <w:pPr>
              <w:pStyle w:val="BodyText"/>
              <w:spacing w:line="360" w:lineRule="auto"/>
              <w:ind w:right="4"/>
              <w:jc w:val="center"/>
            </w:pPr>
            <w:r>
              <w:t>70,18</w:t>
            </w:r>
          </w:p>
        </w:tc>
      </w:tr>
      <w:tr w:rsidR="00015803" w14:paraId="6214601D" w14:textId="77777777" w:rsidTr="002E2C30">
        <w:tc>
          <w:tcPr>
            <w:tcW w:w="1055" w:type="dxa"/>
            <w:tcBorders>
              <w:bottom w:val="single" w:sz="4" w:space="0" w:color="auto"/>
            </w:tcBorders>
          </w:tcPr>
          <w:p w14:paraId="1B745A74" w14:textId="76FD8043" w:rsidR="00015803" w:rsidRDefault="00015803" w:rsidP="00015803">
            <w:pPr>
              <w:pStyle w:val="BodyText"/>
              <w:spacing w:line="360" w:lineRule="auto"/>
              <w:ind w:right="4"/>
              <w:jc w:val="center"/>
            </w:pPr>
            <w:r>
              <w:t>201</w:t>
            </w:r>
            <w:r w:rsidR="00264F68">
              <w:t>9</w:t>
            </w:r>
          </w:p>
        </w:tc>
        <w:tc>
          <w:tcPr>
            <w:tcW w:w="899" w:type="dxa"/>
            <w:tcBorders>
              <w:bottom w:val="single" w:sz="4" w:space="0" w:color="auto"/>
            </w:tcBorders>
          </w:tcPr>
          <w:p w14:paraId="59BED746" w14:textId="313BFB0B" w:rsidR="00015803" w:rsidRDefault="00015803" w:rsidP="00990408">
            <w:pPr>
              <w:pStyle w:val="BodyText"/>
              <w:spacing w:line="360" w:lineRule="auto"/>
              <w:ind w:right="4"/>
              <w:jc w:val="center"/>
            </w:pPr>
            <w:r>
              <w:t>5</w:t>
            </w:r>
            <w:r w:rsidR="00264F68">
              <w:t>5</w:t>
            </w:r>
          </w:p>
        </w:tc>
        <w:tc>
          <w:tcPr>
            <w:tcW w:w="896" w:type="dxa"/>
            <w:tcBorders>
              <w:bottom w:val="single" w:sz="4" w:space="0" w:color="auto"/>
            </w:tcBorders>
          </w:tcPr>
          <w:p w14:paraId="09558F0B" w14:textId="489E7CD9" w:rsidR="00015803" w:rsidRDefault="00264F68" w:rsidP="00990408">
            <w:pPr>
              <w:pStyle w:val="BodyText"/>
              <w:spacing w:line="360" w:lineRule="auto"/>
              <w:ind w:right="4"/>
              <w:jc w:val="center"/>
            </w:pPr>
            <w:r>
              <w:t>5</w:t>
            </w:r>
            <w:r w:rsidR="00015803">
              <w:t>0</w:t>
            </w:r>
          </w:p>
        </w:tc>
        <w:tc>
          <w:tcPr>
            <w:tcW w:w="905" w:type="dxa"/>
            <w:tcBorders>
              <w:bottom w:val="single" w:sz="4" w:space="0" w:color="auto"/>
            </w:tcBorders>
          </w:tcPr>
          <w:p w14:paraId="325D6114" w14:textId="227E3FF3" w:rsidR="00015803" w:rsidRDefault="00264F68" w:rsidP="00990408">
            <w:pPr>
              <w:pStyle w:val="BodyText"/>
              <w:spacing w:line="360" w:lineRule="auto"/>
              <w:ind w:right="4"/>
              <w:jc w:val="center"/>
            </w:pPr>
            <w:r>
              <w:t>90,91</w:t>
            </w:r>
          </w:p>
        </w:tc>
        <w:tc>
          <w:tcPr>
            <w:tcW w:w="905" w:type="dxa"/>
            <w:tcBorders>
              <w:bottom w:val="single" w:sz="4" w:space="0" w:color="auto"/>
            </w:tcBorders>
          </w:tcPr>
          <w:p w14:paraId="43620C10" w14:textId="5EA68997" w:rsidR="00015803" w:rsidRDefault="00264F68" w:rsidP="00990408">
            <w:pPr>
              <w:pStyle w:val="BodyText"/>
              <w:spacing w:line="360" w:lineRule="auto"/>
              <w:ind w:right="4"/>
              <w:jc w:val="center"/>
            </w:pPr>
            <w:r>
              <w:t>51,09</w:t>
            </w:r>
          </w:p>
        </w:tc>
        <w:tc>
          <w:tcPr>
            <w:tcW w:w="905" w:type="dxa"/>
            <w:tcBorders>
              <w:bottom w:val="single" w:sz="4" w:space="0" w:color="auto"/>
            </w:tcBorders>
          </w:tcPr>
          <w:p w14:paraId="2375ACD0" w14:textId="3856E173" w:rsidR="00015803" w:rsidRDefault="00264F68" w:rsidP="00990408">
            <w:pPr>
              <w:pStyle w:val="BodyText"/>
              <w:spacing w:line="360" w:lineRule="auto"/>
              <w:ind w:right="4"/>
              <w:jc w:val="center"/>
            </w:pPr>
            <w:r>
              <w:t>51,00</w:t>
            </w:r>
          </w:p>
        </w:tc>
        <w:tc>
          <w:tcPr>
            <w:tcW w:w="935" w:type="dxa"/>
            <w:tcBorders>
              <w:bottom w:val="single" w:sz="4" w:space="0" w:color="auto"/>
            </w:tcBorders>
          </w:tcPr>
          <w:p w14:paraId="747369B9" w14:textId="2B626F31" w:rsidR="00015803" w:rsidRDefault="00264F68" w:rsidP="00990408">
            <w:pPr>
              <w:pStyle w:val="BodyText"/>
              <w:spacing w:line="360" w:lineRule="auto"/>
              <w:ind w:right="4"/>
              <w:jc w:val="center"/>
            </w:pPr>
            <w:r>
              <w:t>99,82</w:t>
            </w:r>
          </w:p>
        </w:tc>
        <w:tc>
          <w:tcPr>
            <w:tcW w:w="903" w:type="dxa"/>
            <w:tcBorders>
              <w:bottom w:val="single" w:sz="4" w:space="0" w:color="auto"/>
            </w:tcBorders>
          </w:tcPr>
          <w:p w14:paraId="0AABC6F6" w14:textId="1F9171A7" w:rsidR="00015803" w:rsidRDefault="00264F68" w:rsidP="00990408">
            <w:pPr>
              <w:pStyle w:val="BodyText"/>
              <w:spacing w:line="360" w:lineRule="auto"/>
              <w:ind w:right="4"/>
              <w:jc w:val="center"/>
            </w:pPr>
            <w:r>
              <w:t>2.810</w:t>
            </w:r>
          </w:p>
        </w:tc>
        <w:tc>
          <w:tcPr>
            <w:tcW w:w="903" w:type="dxa"/>
            <w:tcBorders>
              <w:bottom w:val="single" w:sz="4" w:space="0" w:color="auto"/>
            </w:tcBorders>
          </w:tcPr>
          <w:p w14:paraId="7AFC7C71" w14:textId="1DAC0EC0" w:rsidR="00015803" w:rsidRDefault="00264F68" w:rsidP="00990408">
            <w:pPr>
              <w:pStyle w:val="BodyText"/>
              <w:spacing w:line="360" w:lineRule="auto"/>
              <w:ind w:right="4"/>
              <w:jc w:val="center"/>
            </w:pPr>
            <w:r>
              <w:t>2.550</w:t>
            </w:r>
          </w:p>
        </w:tc>
        <w:tc>
          <w:tcPr>
            <w:tcW w:w="905" w:type="dxa"/>
            <w:tcBorders>
              <w:bottom w:val="single" w:sz="4" w:space="0" w:color="auto"/>
            </w:tcBorders>
          </w:tcPr>
          <w:p w14:paraId="433EFA47" w14:textId="52083387" w:rsidR="00015803" w:rsidRDefault="00264F68" w:rsidP="00990408">
            <w:pPr>
              <w:pStyle w:val="BodyText"/>
              <w:spacing w:line="360" w:lineRule="auto"/>
              <w:ind w:right="4"/>
              <w:jc w:val="center"/>
            </w:pPr>
            <w:r>
              <w:t>90,75</w:t>
            </w:r>
          </w:p>
        </w:tc>
      </w:tr>
    </w:tbl>
    <w:p w14:paraId="7D664F2C" w14:textId="613B7375" w:rsidR="00015803" w:rsidRPr="00C23B73" w:rsidRDefault="00015803" w:rsidP="00015803">
      <w:pPr>
        <w:pStyle w:val="BodyText"/>
        <w:spacing w:line="360" w:lineRule="auto"/>
        <w:ind w:left="221" w:right="4" w:firstLine="566"/>
        <w:jc w:val="right"/>
        <w:rPr>
          <w:i/>
          <w:iCs/>
        </w:rPr>
      </w:pPr>
      <w:r w:rsidRPr="00C23B73">
        <w:rPr>
          <w:i/>
          <w:iCs/>
        </w:rPr>
        <w:t xml:space="preserve">(Nguồn: </w:t>
      </w:r>
      <w:r w:rsidR="00253836">
        <w:rPr>
          <w:i/>
          <w:iCs/>
        </w:rPr>
        <w:t>Phòng Nông nghiệp</w:t>
      </w:r>
      <w:r w:rsidRPr="00C23B73">
        <w:rPr>
          <w:i/>
          <w:iCs/>
        </w:rPr>
        <w:t xml:space="preserve"> huyện Quảng Điền)</w:t>
      </w:r>
    </w:p>
    <w:p w14:paraId="253D01D0" w14:textId="56E62DE5" w:rsidR="00B4560C" w:rsidRDefault="00B4560C" w:rsidP="00FA3DC4">
      <w:pPr>
        <w:pStyle w:val="BodyText"/>
        <w:spacing w:line="360" w:lineRule="auto"/>
        <w:ind w:right="4" w:firstLine="709"/>
        <w:jc w:val="both"/>
      </w:pPr>
      <w:r w:rsidRPr="00B4560C">
        <w:t>Số liệu Bảng</w:t>
      </w:r>
      <w:r>
        <w:t xml:space="preserve"> 1 cho thấy</w:t>
      </w:r>
      <w:r w:rsidR="00AB6379">
        <w:t>,</w:t>
      </w:r>
      <w:r>
        <w:t xml:space="preserve"> diện tích sản xuất rau má của huyện Quảng Điền </w:t>
      </w:r>
      <w:r w:rsidR="00F54530">
        <w:t xml:space="preserve">có sự </w:t>
      </w:r>
      <w:r>
        <w:t>tăng lên từ 5</w:t>
      </w:r>
      <w:r w:rsidR="004B7757">
        <w:t>4</w:t>
      </w:r>
      <w:r>
        <w:t xml:space="preserve"> ha năm 201</w:t>
      </w:r>
      <w:r w:rsidR="004B7757">
        <w:t>7</w:t>
      </w:r>
      <w:r>
        <w:t xml:space="preserve"> lên 5</w:t>
      </w:r>
      <w:r w:rsidR="004B7757">
        <w:t>5</w:t>
      </w:r>
      <w:r>
        <w:t xml:space="preserve"> ha năm 201</w:t>
      </w:r>
      <w:r w:rsidR="00C644F0">
        <w:t>9</w:t>
      </w:r>
      <w:r>
        <w:t xml:space="preserve">. </w:t>
      </w:r>
      <w:r w:rsidR="00FA6FAA">
        <w:t xml:space="preserve">Diện tích sản xuất rau má tăng lên do hộ nông dân chuyển những diện tích sản xuất lúa và rau màu có hiệu quả kinh tế thấp sang sản xuất rau má. </w:t>
      </w:r>
      <w:r w:rsidR="00FA3DC4">
        <w:t>Hoạt động sản xuất rau má được thực hiện trên địa bàn</w:t>
      </w:r>
      <w:r w:rsidR="00C644F0">
        <w:t xml:space="preserve"> các</w:t>
      </w:r>
      <w:r w:rsidR="00FA3DC4">
        <w:t xml:space="preserve"> xã Quảng Thọ</w:t>
      </w:r>
      <w:r w:rsidR="00C644F0">
        <w:t>,</w:t>
      </w:r>
      <w:r w:rsidR="00FA3DC4">
        <w:t xml:space="preserve"> Quảng Phú,</w:t>
      </w:r>
      <w:r w:rsidR="00C644F0">
        <w:t xml:space="preserve"> Quảng Vinh, Quảng An và thị trấn Sịa. T</w:t>
      </w:r>
      <w:r w:rsidR="00FA3DC4">
        <w:t>rong đó</w:t>
      </w:r>
      <w:r w:rsidR="00C644F0">
        <w:t>,</w:t>
      </w:r>
      <w:r w:rsidR="00FA3DC4">
        <w:t xml:space="preserve"> diện tích rau má ở xã Quảng Thọ là 5</w:t>
      </w:r>
      <w:r w:rsidR="00C644F0">
        <w:t>2,0</w:t>
      </w:r>
      <w:r w:rsidR="00FA3DC4">
        <w:t xml:space="preserve"> ha chiếm 9</w:t>
      </w:r>
      <w:r w:rsidR="00C644F0">
        <w:t>4,55</w:t>
      </w:r>
      <w:r w:rsidR="00FA3DC4">
        <w:t xml:space="preserve">% tổng diện tích sản xuất toàn huyện và diện tích rau má ở </w:t>
      </w:r>
      <w:r w:rsidR="00C644F0">
        <w:t>xã Quảng Phú, Quảng Vinh, Quảng An và thị trấn Sịa</w:t>
      </w:r>
      <w:r w:rsidR="00FA3DC4">
        <w:t xml:space="preserve"> là </w:t>
      </w:r>
      <w:r w:rsidR="00C644F0">
        <w:t>3,0</w:t>
      </w:r>
      <w:r w:rsidR="00FA3DC4">
        <w:t xml:space="preserve"> ha chiếm </w:t>
      </w:r>
      <w:r w:rsidR="00C644F0">
        <w:t>5,45</w:t>
      </w:r>
      <w:r w:rsidR="00FA3DC4">
        <w:t xml:space="preserve">%. </w:t>
      </w:r>
      <w:r w:rsidR="00A21ED7">
        <w:t>D</w:t>
      </w:r>
      <w:r w:rsidR="00FA3DC4">
        <w:t xml:space="preserve">iện tích sản xuất rau má VietGAP </w:t>
      </w:r>
      <w:r w:rsidR="00A21ED7">
        <w:t xml:space="preserve">có sự tăng mạnh từ 40 ha năm 2017 lên </w:t>
      </w:r>
      <w:r w:rsidR="004B7757">
        <w:t>50</w:t>
      </w:r>
      <w:r w:rsidR="00FA3DC4">
        <w:t xml:space="preserve"> ha</w:t>
      </w:r>
      <w:r w:rsidR="00A21ED7">
        <w:t xml:space="preserve"> năm 2019</w:t>
      </w:r>
      <w:r>
        <w:t xml:space="preserve">, </w:t>
      </w:r>
      <w:r w:rsidR="00A21ED7">
        <w:t xml:space="preserve">tăng 125% và </w:t>
      </w:r>
      <w:r>
        <w:t xml:space="preserve">chiếm </w:t>
      </w:r>
      <w:r w:rsidR="004B7757">
        <w:t>90,91</w:t>
      </w:r>
      <w:r>
        <w:t xml:space="preserve">% </w:t>
      </w:r>
      <w:r w:rsidR="00A21ED7">
        <w:t>tổng diện tích sản xuất toàn huyện</w:t>
      </w:r>
      <w:r>
        <w:t>.</w:t>
      </w:r>
      <w:r w:rsidR="000B2546">
        <w:t xml:space="preserve"> </w:t>
      </w:r>
      <w:r w:rsidR="00FA3DC4">
        <w:t>R</w:t>
      </w:r>
      <w:r w:rsidR="000B2546">
        <w:t>au má VietGAP được trồng tại xã Quảng Thọ</w:t>
      </w:r>
      <w:r w:rsidR="00FA3DC4">
        <w:t xml:space="preserve"> trên những cánh đồng sản xuất tập trung</w:t>
      </w:r>
      <w:r w:rsidR="000B2546">
        <w:t xml:space="preserve">. </w:t>
      </w:r>
      <w:r w:rsidR="0061070B">
        <w:t>Hiện nay, huyện Quảng Điền</w:t>
      </w:r>
      <w:r w:rsidR="000B2546">
        <w:t xml:space="preserve"> đã xây dựng được thương hiệu rau má Quảng Thọ, đây là điều kiện thuận lợi để </w:t>
      </w:r>
      <w:r w:rsidR="0061070B">
        <w:t xml:space="preserve">nâng cao hiệu quả và </w:t>
      </w:r>
      <w:r w:rsidR="000B2546">
        <w:t>phát triển mô hình rau má VietGAP</w:t>
      </w:r>
      <w:r w:rsidR="0061070B">
        <w:t xml:space="preserve"> một cách bền vững</w:t>
      </w:r>
      <w:r w:rsidR="000B2546">
        <w:t xml:space="preserve">. </w:t>
      </w:r>
    </w:p>
    <w:p w14:paraId="716FFF36" w14:textId="720B8A0E" w:rsidR="000B2546" w:rsidRPr="00B4560C" w:rsidRDefault="00DC3FE1" w:rsidP="00157F64">
      <w:pPr>
        <w:pStyle w:val="BodyText"/>
        <w:spacing w:line="360" w:lineRule="auto"/>
        <w:ind w:right="4" w:firstLine="709"/>
        <w:jc w:val="both"/>
      </w:pPr>
      <w:r>
        <w:t>Năng suất và s</w:t>
      </w:r>
      <w:r w:rsidR="004037E2">
        <w:t xml:space="preserve">ản lượng rau má có sự </w:t>
      </w:r>
      <w:r>
        <w:t xml:space="preserve">biến động qua </w:t>
      </w:r>
      <w:r w:rsidR="004037E2">
        <w:t xml:space="preserve">3 năm, </w:t>
      </w:r>
      <w:r>
        <w:t xml:space="preserve">năng suất </w:t>
      </w:r>
      <w:r w:rsidR="00C41FBC">
        <w:t xml:space="preserve">biến </w:t>
      </w:r>
      <w:r>
        <w:t xml:space="preserve">động </w:t>
      </w:r>
      <w:r w:rsidR="00AB6379">
        <w:t>trong khoảng</w:t>
      </w:r>
      <w:r>
        <w:t xml:space="preserve"> 51</w:t>
      </w:r>
      <w:r w:rsidR="006866AC">
        <w:t xml:space="preserve"> </w:t>
      </w:r>
      <w:r w:rsidR="00AB6379">
        <w:t>-</w:t>
      </w:r>
      <w:r w:rsidR="006866AC">
        <w:t xml:space="preserve"> 52,3 tạ/ha và sản lượng </w:t>
      </w:r>
      <w:r w:rsidR="00C41FBC">
        <w:t xml:space="preserve">biến </w:t>
      </w:r>
      <w:r w:rsidR="006866AC">
        <w:t xml:space="preserve">động từ </w:t>
      </w:r>
      <w:r w:rsidR="004037E2">
        <w:t>2.</w:t>
      </w:r>
      <w:r w:rsidR="006866AC">
        <w:t>8</w:t>
      </w:r>
      <w:r w:rsidR="004037E2">
        <w:t xml:space="preserve">10 tấn </w:t>
      </w:r>
      <w:r w:rsidR="006866AC">
        <w:t>đến 2.850 tấn.</w:t>
      </w:r>
      <w:r w:rsidR="0061070B">
        <w:t xml:space="preserve"> </w:t>
      </w:r>
      <w:r w:rsidR="00C41FBC">
        <w:t xml:space="preserve">Năng suất </w:t>
      </w:r>
      <w:r w:rsidR="00210BF9">
        <w:t xml:space="preserve">rau má VietGAP </w:t>
      </w:r>
      <w:r w:rsidR="00C41FBC">
        <w:t xml:space="preserve">thường thấp hơn </w:t>
      </w:r>
      <w:r w:rsidR="00210BF9">
        <w:t>rau má truyền thống</w:t>
      </w:r>
      <w:r w:rsidR="00C41FBC">
        <w:t xml:space="preserve"> từ 1 – 3 tạ/ha và bằng</w:t>
      </w:r>
      <w:r w:rsidR="006866AC">
        <w:t xml:space="preserve"> 96,49% đến 99,82%</w:t>
      </w:r>
      <w:r w:rsidR="00C41FBC">
        <w:t xml:space="preserve"> năng suất rau má trung bình của huyện</w:t>
      </w:r>
      <w:r w:rsidR="00210BF9">
        <w:t xml:space="preserve">. </w:t>
      </w:r>
      <w:r w:rsidR="00C41FBC">
        <w:t>Tu</w:t>
      </w:r>
      <w:r w:rsidR="00CE0134">
        <w:t>y</w:t>
      </w:r>
      <w:r w:rsidR="00C41FBC">
        <w:t xml:space="preserve"> nhiên, d</w:t>
      </w:r>
      <w:r w:rsidR="006866AC">
        <w:t xml:space="preserve">iện tích sản xuất </w:t>
      </w:r>
      <w:r w:rsidR="00C41FBC">
        <w:t xml:space="preserve">rau má VietGAP </w:t>
      </w:r>
      <w:r w:rsidR="006866AC">
        <w:t>được tăng lên</w:t>
      </w:r>
      <w:r w:rsidR="002A3337">
        <w:t>,</w:t>
      </w:r>
      <w:r w:rsidR="006866AC">
        <w:t xml:space="preserve"> nên sản lượng ngày càng chiếm tỷ trọng cao trong tổng sản lượng rau má của huyện, từ chỗ chiếm 73,65% tổng sản lượng năm 2017 đã tăng lên 90,75% tổng sản lượng năm 2019.</w:t>
      </w:r>
      <w:r w:rsidR="002B00F4">
        <w:t xml:space="preserve"> </w:t>
      </w:r>
    </w:p>
    <w:p w14:paraId="643483A6" w14:textId="75A1943F" w:rsidR="00015803" w:rsidRPr="00D43EA5" w:rsidRDefault="00015803" w:rsidP="002A3337">
      <w:pPr>
        <w:pStyle w:val="BodyText"/>
        <w:spacing w:line="360" w:lineRule="auto"/>
        <w:ind w:right="4"/>
        <w:jc w:val="both"/>
        <w:rPr>
          <w:b/>
          <w:bCs/>
        </w:rPr>
      </w:pPr>
      <w:r w:rsidRPr="00D43EA5">
        <w:rPr>
          <w:b/>
          <w:bCs/>
        </w:rPr>
        <w:t>Tình hình áp dụng các biện pháp kỹ thuật trong sản xuất rau má VietGAP</w:t>
      </w:r>
    </w:p>
    <w:p w14:paraId="7144C869" w14:textId="5A710238" w:rsidR="00495B6E" w:rsidRPr="00495B6E" w:rsidRDefault="000E4A1E" w:rsidP="00157F64">
      <w:pPr>
        <w:pStyle w:val="BodyText"/>
        <w:spacing w:line="360" w:lineRule="auto"/>
        <w:ind w:right="4" w:firstLine="709"/>
        <w:jc w:val="both"/>
      </w:pPr>
      <w:r>
        <w:t xml:space="preserve">Kết quả khảo sát tình hình </w:t>
      </w:r>
      <w:r w:rsidR="00CE0134">
        <w:t xml:space="preserve">áp dụng các biện pháp kỹ thuật trong </w:t>
      </w:r>
      <w:r>
        <w:t>sản xuất rau má VietGAP tại huyện Quảng Điền cho thấy</w:t>
      </w:r>
      <w:r w:rsidR="00CE0134">
        <w:t xml:space="preserve">: </w:t>
      </w:r>
    </w:p>
    <w:p w14:paraId="49921599" w14:textId="1C9DD191" w:rsidR="00F333AB" w:rsidRDefault="00F333AB" w:rsidP="00F333AB">
      <w:pPr>
        <w:pStyle w:val="BodyText"/>
        <w:spacing w:line="360" w:lineRule="auto"/>
        <w:ind w:right="4" w:firstLine="709"/>
        <w:jc w:val="both"/>
      </w:pPr>
      <w:r w:rsidRPr="00D368FB">
        <w:rPr>
          <w:i/>
          <w:iCs/>
        </w:rPr>
        <w:t>Về sử dụng thuốc bảo vệ thực vật</w:t>
      </w:r>
      <w:r>
        <w:rPr>
          <w:i/>
          <w:iCs/>
        </w:rPr>
        <w:t xml:space="preserve"> và phân bón</w:t>
      </w:r>
      <w:r w:rsidRPr="00D368FB">
        <w:rPr>
          <w:i/>
          <w:iCs/>
        </w:rPr>
        <w:t>:</w:t>
      </w:r>
      <w:r>
        <w:t xml:space="preserve"> Các hộ sản xuất rau má VietGAP được phỏng vấn cho biết</w:t>
      </w:r>
      <w:r w:rsidR="002A3337">
        <w:t>,</w:t>
      </w:r>
      <w:r>
        <w:t xml:space="preserve"> đã tuân thủ hoàn toàn theo hướng dẫn về việc dùng phân bón và thuốc bảo vệ thực vật. 100% số hộ sử dụng các loại thuốc bảo vệ thực vật trong danh mục </w:t>
      </w:r>
      <w:r>
        <w:lastRenderedPageBreak/>
        <w:t>cho phép</w:t>
      </w:r>
      <w:r w:rsidR="002A3337">
        <w:t>;</w:t>
      </w:r>
      <w:r>
        <w:t xml:space="preserve"> 83,3</w:t>
      </w:r>
      <w:r w:rsidR="0007682D">
        <w:t>3</w:t>
      </w:r>
      <w:r>
        <w:t xml:space="preserve">% số hộ sử dụng các loại thuốc bảo vệ thực vật có nhãn hiệu uy tín trên thị trường. </w:t>
      </w:r>
      <w:r w:rsidR="0007682D">
        <w:t>56,67</w:t>
      </w:r>
      <w:r>
        <w:t>% số hộ sử dụng phân chuồng hoai mục</w:t>
      </w:r>
      <w:r w:rsidR="002A3337">
        <w:t xml:space="preserve">; </w:t>
      </w:r>
      <w:r w:rsidR="0007682D">
        <w:t>23,33</w:t>
      </w:r>
      <w:r>
        <w:t>% số hộ sử dụng phân bón vi sinh</w:t>
      </w:r>
      <w:r w:rsidR="0007682D">
        <w:t xml:space="preserve"> và 20% số hộ kết hợp cả phân chuồng hoai mục và phân vi sinh. </w:t>
      </w:r>
      <w:r>
        <w:t>Hộ sản xuất rau má VietGAP đều tuân thủ thời gian cách ly sau khi bón phân hoặc phun thuốc bảo vệ thực vật,</w:t>
      </w:r>
      <w:r w:rsidR="0007682D">
        <w:t xml:space="preserve"> </w:t>
      </w:r>
      <w:r>
        <w:t xml:space="preserve">thường là ít nhất 7 – 10 ngày mới được thu hoạch hoặc theo hướng dẫn ở trên bao bì.  </w:t>
      </w:r>
    </w:p>
    <w:p w14:paraId="6FF41F6A" w14:textId="08064013" w:rsidR="00167EFB" w:rsidRDefault="00167EFB" w:rsidP="00167EFB">
      <w:pPr>
        <w:pStyle w:val="BodyText"/>
        <w:spacing w:line="360" w:lineRule="auto"/>
        <w:ind w:right="4" w:firstLine="709"/>
        <w:jc w:val="both"/>
      </w:pPr>
      <w:r w:rsidRPr="00D368FB">
        <w:rPr>
          <w:i/>
          <w:iCs/>
        </w:rPr>
        <w:t>Về</w:t>
      </w:r>
      <w:r w:rsidR="00F333AB">
        <w:rPr>
          <w:i/>
          <w:iCs/>
        </w:rPr>
        <w:t xml:space="preserve"> quy trình </w:t>
      </w:r>
      <w:r w:rsidRPr="00D368FB">
        <w:rPr>
          <w:i/>
          <w:iCs/>
        </w:rPr>
        <w:t>sản xuất</w:t>
      </w:r>
      <w:r w:rsidR="00F333AB">
        <w:rPr>
          <w:i/>
          <w:iCs/>
        </w:rPr>
        <w:t xml:space="preserve"> theo tiêu chuẩn VietGAP</w:t>
      </w:r>
      <w:r w:rsidRPr="00D368FB">
        <w:rPr>
          <w:i/>
          <w:iCs/>
        </w:rPr>
        <w:t>:</w:t>
      </w:r>
      <w:r>
        <w:t xml:space="preserve"> 100% hộ sản xuất rau má VietGAP đều đã tham gia tập huấn kỹ thuật về sản xuất rau má theo tiêu chuẩn VietGAP, bình quân 4,1 lần/hộ. Đây là điều kiện thuận lợi để hộ tiếp thu và áp dụng đúng quy trình sản xuất VietGAP trong sản xuất rau má. Các hộ sản xuất đều hiểu rõ rằng việc áp dụng đúng quy trình là điều kiện cần thiết để nâng cao chất lượng sản phẩm và khẳng định thương hiệu rau má VietGAP trên thị trường. 50% số hộ được phỏng vấn cho biết</w:t>
      </w:r>
      <w:r w:rsidR="002A3337">
        <w:t>,</w:t>
      </w:r>
      <w:r>
        <w:t xml:space="preserve"> quá trình sản xuất đều ghi chép đầy đủ nhật ký đồng ruộng như</w:t>
      </w:r>
      <w:r w:rsidR="002A3337">
        <w:t>:</w:t>
      </w:r>
      <w:r>
        <w:t xml:space="preserve"> thời gian trồng, </w:t>
      </w:r>
      <w:r w:rsidR="00F333AB">
        <w:t xml:space="preserve">số lượng và thời gian </w:t>
      </w:r>
      <w:r>
        <w:t>bón phân làm cỏ, phun thuốc bảo vệ thực vật…đây là cơ sở để truy xuất nguồn gốc. Tuy nhiên, việc ghi chép nhật ký đồng ruộng của hộ sản xuất vẫn chưa được thực hiện thường xuyên, hộ thường ghi vào lúc rảnh rỗi hoặc khi nhớ mới ghi</w:t>
      </w:r>
      <w:r w:rsidR="002A3337">
        <w:t>,</w:t>
      </w:r>
      <w:r>
        <w:t xml:space="preserve"> mà không ghi liền sau khi sử dụng</w:t>
      </w:r>
      <w:r w:rsidR="002A3337">
        <w:t>,</w:t>
      </w:r>
      <w:r>
        <w:t xml:space="preserve"> nên số liệu ghi chép nhiều lúc vẫn không đúng với thực tế, phần nào còn có sự sai lệch.</w:t>
      </w:r>
    </w:p>
    <w:p w14:paraId="150A64BE" w14:textId="3764C026" w:rsidR="0000082A" w:rsidRDefault="004A7B63" w:rsidP="00157F64">
      <w:pPr>
        <w:pStyle w:val="BodyText"/>
        <w:spacing w:line="360" w:lineRule="auto"/>
        <w:ind w:right="4" w:firstLine="709"/>
        <w:jc w:val="both"/>
      </w:pPr>
      <w:r w:rsidRPr="004A7B63">
        <w:rPr>
          <w:i/>
          <w:iCs/>
        </w:rPr>
        <w:t xml:space="preserve">Về </w:t>
      </w:r>
      <w:r w:rsidR="0099315C" w:rsidRPr="004A7B63">
        <w:rPr>
          <w:i/>
          <w:iCs/>
        </w:rPr>
        <w:t>nguồn nước tưới</w:t>
      </w:r>
      <w:r w:rsidR="0099315C">
        <w:t xml:space="preserve">: </w:t>
      </w:r>
      <w:r>
        <w:t>Nguồn nước tưới được sử dụng là nước giếng khoan hoặc nước sông</w:t>
      </w:r>
      <w:r w:rsidR="008A4300">
        <w:t xml:space="preserve"> Bồ</w:t>
      </w:r>
      <w:r>
        <w:t>, không có hộ sản xuất nào sử dụng nước thải công nghiệp hay nước thải sinh hoạt để tưới.</w:t>
      </w:r>
      <w:r w:rsidR="0000082A">
        <w:t xml:space="preserve"> </w:t>
      </w:r>
      <w:r w:rsidR="00CE0134">
        <w:t>61,67</w:t>
      </w:r>
      <w:r w:rsidR="0000082A">
        <w:t xml:space="preserve">% số hộ sản xuất rau má VietGAP được khảo sát sử dụng nước giếng khoan và </w:t>
      </w:r>
      <w:r w:rsidR="00CE0134">
        <w:t>38,33</w:t>
      </w:r>
      <w:r w:rsidR="0000082A">
        <w:t>% số hộ sử dụng nước sông để tưới cho rau má.</w:t>
      </w:r>
      <w:r>
        <w:t xml:space="preserve"> </w:t>
      </w:r>
      <w:r w:rsidR="00495B6E">
        <w:t>Các vùng sản xuất rau má VietGAP được tổ chức sản xuất tập trung, liền kề nhau</w:t>
      </w:r>
      <w:r>
        <w:t xml:space="preserve"> nên thuận lợi trong việc tưới tiêu</w:t>
      </w:r>
      <w:r w:rsidR="0000082A">
        <w:t>. Tuy nhiên, hệ thống thủy lợi đến các ruộng rau vẫn chưa tốt, thiếu đồng bộ, hệ thống tưới phun sương bán tự động chưa được quan tâm</w:t>
      </w:r>
      <w:r w:rsidR="0000082A" w:rsidRPr="0000082A">
        <w:t xml:space="preserve"> </w:t>
      </w:r>
      <w:r w:rsidR="0000082A">
        <w:t xml:space="preserve">đầu tư (hiện nay mới có 3,6 ha có hệ thống phun sương tự động). </w:t>
      </w:r>
    </w:p>
    <w:p w14:paraId="4DE356F9" w14:textId="6AF92EDD" w:rsidR="0086328C" w:rsidRDefault="0086328C" w:rsidP="00157F64">
      <w:pPr>
        <w:pStyle w:val="BodyText"/>
        <w:spacing w:line="360" w:lineRule="auto"/>
        <w:ind w:right="4" w:firstLine="709"/>
        <w:jc w:val="both"/>
      </w:pPr>
      <w:r w:rsidRPr="003E1965">
        <w:rPr>
          <w:i/>
          <w:iCs/>
        </w:rPr>
        <w:t>Về thu hoạch sản phẩm:</w:t>
      </w:r>
      <w:r>
        <w:t xml:space="preserve"> Hiện nay việc thu hoạch sản phẩm rau má vẫn được thực hiện thủ công, sử dụng liềm để cắt. </w:t>
      </w:r>
      <w:r w:rsidR="0007682D">
        <w:t>100% số hộ sản xuất đều tuân thủ</w:t>
      </w:r>
      <w:r>
        <w:t xml:space="preserve"> theo quy định khi thu hoạch phải bỏ trực tiếp vào giỏ (bao), không được bỏ xuống đất nhằm tránh tiếp xúc với các vi sinh vật gây hại. Đối với rau má VietGAP cung cấp cho hợp tác xã </w:t>
      </w:r>
      <w:r w:rsidR="002A3337">
        <w:t xml:space="preserve">(HTX) nông nghiệp </w:t>
      </w:r>
      <w:r>
        <w:t xml:space="preserve">Quảng </w:t>
      </w:r>
      <w:r w:rsidR="0007682D">
        <w:t>T</w:t>
      </w:r>
      <w:r>
        <w:t xml:space="preserve">họ II, sau khi thu hoạch sẽ được sơ chế, rửa bằng nước sạch và sục ozon </w:t>
      </w:r>
      <w:r>
        <w:lastRenderedPageBreak/>
        <w:t xml:space="preserve">mới </w:t>
      </w:r>
      <w:r w:rsidR="0007682D">
        <w:t>đưa đi</w:t>
      </w:r>
      <w:r>
        <w:t xml:space="preserve"> tiêu thụ. </w:t>
      </w:r>
    </w:p>
    <w:p w14:paraId="1AD5B3AE" w14:textId="740DDDAA" w:rsidR="0007682D" w:rsidRDefault="0007682D" w:rsidP="0007682D">
      <w:pPr>
        <w:pStyle w:val="BodyText"/>
        <w:spacing w:line="360" w:lineRule="auto"/>
        <w:ind w:right="4" w:firstLine="709"/>
        <w:jc w:val="both"/>
      </w:pPr>
      <w:r w:rsidRPr="0007682D">
        <w:rPr>
          <w:i/>
          <w:iCs/>
        </w:rPr>
        <w:t>Về bảo vệ môi trường:</w:t>
      </w:r>
      <w:r>
        <w:t xml:space="preserve"> Để bảo vệ môi trường và tránh tình trạng hộ sản xuất vứt bỏ bừa bãi bao bì, bao gói thuốc bảo vệ thực vật sau sử dụng trên đồng ruộng, huyện đã hỗ trợ xây dựng 10 bể chứa rác thải tại các vùng sản xuất rau má, định kỳ háng tháng sẽ thu gom rác thải này đến tập kết tại khu vực chứa rác nguy hại của huyện.</w:t>
      </w:r>
    </w:p>
    <w:p w14:paraId="7AABDA86" w14:textId="5E08B39D" w:rsidR="00C23B73" w:rsidRDefault="001A4083" w:rsidP="00A747C6">
      <w:pPr>
        <w:pStyle w:val="BodyText"/>
        <w:spacing w:line="360" w:lineRule="auto"/>
        <w:ind w:right="4"/>
        <w:jc w:val="both"/>
        <w:rPr>
          <w:b/>
          <w:bCs/>
        </w:rPr>
      </w:pPr>
      <w:r w:rsidRPr="00A747C6">
        <w:rPr>
          <w:b/>
          <w:bCs/>
        </w:rPr>
        <w:t>Tình hình phân phối và tiêu thụ rau má VietGAP</w:t>
      </w:r>
    </w:p>
    <w:p w14:paraId="13383794" w14:textId="0CAD5B45" w:rsidR="001A4083" w:rsidRPr="00A747C6" w:rsidRDefault="001A4083" w:rsidP="002A3337">
      <w:pPr>
        <w:pStyle w:val="BodyText"/>
        <w:spacing w:line="360" w:lineRule="auto"/>
        <w:ind w:right="4"/>
        <w:jc w:val="center"/>
        <w:rPr>
          <w:b/>
          <w:bCs/>
        </w:rPr>
      </w:pPr>
      <w:r w:rsidRPr="00A747C6">
        <w:rPr>
          <w:b/>
          <w:bCs/>
        </w:rPr>
        <w:t>Bảng</w:t>
      </w:r>
      <w:r w:rsidR="00A747C6">
        <w:rPr>
          <w:b/>
          <w:bCs/>
        </w:rPr>
        <w:t xml:space="preserve"> 2: </w:t>
      </w:r>
      <w:r w:rsidRPr="00A747C6">
        <w:rPr>
          <w:b/>
          <w:bCs/>
        </w:rPr>
        <w:t>Tình hình tiêu thụ rau má của hộ sản xuất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126"/>
        <w:gridCol w:w="1702"/>
        <w:gridCol w:w="569"/>
      </w:tblGrid>
      <w:tr w:rsidR="001A4083" w14:paraId="2FCF0983" w14:textId="77777777" w:rsidTr="00AE59DF">
        <w:trPr>
          <w:jc w:val="center"/>
        </w:trPr>
        <w:tc>
          <w:tcPr>
            <w:tcW w:w="3686" w:type="dxa"/>
            <w:vMerge w:val="restart"/>
            <w:tcBorders>
              <w:top w:val="single" w:sz="4" w:space="0" w:color="auto"/>
            </w:tcBorders>
          </w:tcPr>
          <w:p w14:paraId="458BC623" w14:textId="16A4ED16" w:rsidR="001A4083" w:rsidRPr="001A4083" w:rsidRDefault="001A4083" w:rsidP="003F2AF8">
            <w:pPr>
              <w:pStyle w:val="BodyText"/>
              <w:ind w:right="6" w:firstLine="709"/>
              <w:rPr>
                <w:b/>
                <w:bCs/>
              </w:rPr>
            </w:pPr>
            <w:r w:rsidRPr="001A4083">
              <w:rPr>
                <w:b/>
                <w:bCs/>
              </w:rPr>
              <w:t>Tình hình tiêu thụ</w:t>
            </w:r>
          </w:p>
        </w:tc>
        <w:tc>
          <w:tcPr>
            <w:tcW w:w="4397" w:type="dxa"/>
            <w:gridSpan w:val="3"/>
            <w:tcBorders>
              <w:top w:val="single" w:sz="4" w:space="0" w:color="auto"/>
              <w:bottom w:val="single" w:sz="4" w:space="0" w:color="auto"/>
            </w:tcBorders>
          </w:tcPr>
          <w:p w14:paraId="271A1CC9" w14:textId="7212876A" w:rsidR="001A4083" w:rsidRPr="001A4083" w:rsidRDefault="001A4083" w:rsidP="00700D3C">
            <w:pPr>
              <w:pStyle w:val="BodyText"/>
              <w:ind w:right="6"/>
              <w:jc w:val="center"/>
              <w:rPr>
                <w:b/>
                <w:bCs/>
              </w:rPr>
            </w:pPr>
            <w:r w:rsidRPr="001A4083">
              <w:rPr>
                <w:b/>
                <w:bCs/>
              </w:rPr>
              <w:t>Theo hình thức trồng (%)</w:t>
            </w:r>
          </w:p>
        </w:tc>
      </w:tr>
      <w:tr w:rsidR="001A4083" w14:paraId="3672D8A0" w14:textId="77777777" w:rsidTr="00AE59DF">
        <w:trPr>
          <w:jc w:val="center"/>
        </w:trPr>
        <w:tc>
          <w:tcPr>
            <w:tcW w:w="3686" w:type="dxa"/>
            <w:vMerge/>
            <w:tcBorders>
              <w:bottom w:val="single" w:sz="4" w:space="0" w:color="auto"/>
            </w:tcBorders>
          </w:tcPr>
          <w:p w14:paraId="34ACACCC" w14:textId="77777777" w:rsidR="001A4083" w:rsidRPr="001A4083" w:rsidRDefault="001A4083" w:rsidP="003F2AF8">
            <w:pPr>
              <w:pStyle w:val="BodyText"/>
              <w:ind w:right="6" w:firstLine="709"/>
              <w:rPr>
                <w:b/>
                <w:bCs/>
              </w:rPr>
            </w:pPr>
          </w:p>
        </w:tc>
        <w:tc>
          <w:tcPr>
            <w:tcW w:w="2126" w:type="dxa"/>
            <w:tcBorders>
              <w:top w:val="single" w:sz="4" w:space="0" w:color="auto"/>
              <w:bottom w:val="single" w:sz="4" w:space="0" w:color="auto"/>
            </w:tcBorders>
          </w:tcPr>
          <w:p w14:paraId="5F6DEF84" w14:textId="4BE1D7AE" w:rsidR="001A4083" w:rsidRPr="001A4083" w:rsidRDefault="001A4083" w:rsidP="00700D3C">
            <w:pPr>
              <w:pStyle w:val="BodyText"/>
              <w:ind w:right="6"/>
              <w:jc w:val="center"/>
              <w:rPr>
                <w:b/>
                <w:bCs/>
              </w:rPr>
            </w:pPr>
            <w:r w:rsidRPr="001A4083">
              <w:rPr>
                <w:b/>
                <w:bCs/>
              </w:rPr>
              <w:t>VietGAP</w:t>
            </w:r>
          </w:p>
        </w:tc>
        <w:tc>
          <w:tcPr>
            <w:tcW w:w="2271" w:type="dxa"/>
            <w:gridSpan w:val="2"/>
            <w:tcBorders>
              <w:top w:val="single" w:sz="4" w:space="0" w:color="auto"/>
              <w:bottom w:val="single" w:sz="4" w:space="0" w:color="auto"/>
            </w:tcBorders>
          </w:tcPr>
          <w:p w14:paraId="178A79E4" w14:textId="5050F6B7" w:rsidR="001A4083" w:rsidRPr="001A4083" w:rsidRDefault="001A4083" w:rsidP="003F2AF8">
            <w:pPr>
              <w:pStyle w:val="BodyText"/>
              <w:ind w:right="6"/>
              <w:jc w:val="center"/>
              <w:rPr>
                <w:b/>
                <w:bCs/>
              </w:rPr>
            </w:pPr>
            <w:r>
              <w:rPr>
                <w:b/>
                <w:bCs/>
              </w:rPr>
              <w:t>T</w:t>
            </w:r>
            <w:r w:rsidRPr="001A4083">
              <w:rPr>
                <w:b/>
                <w:bCs/>
              </w:rPr>
              <w:t>ruyền thống</w:t>
            </w:r>
          </w:p>
        </w:tc>
      </w:tr>
      <w:tr w:rsidR="001A4083" w14:paraId="7E72EE93" w14:textId="77777777" w:rsidTr="00AE59DF">
        <w:trPr>
          <w:jc w:val="center"/>
        </w:trPr>
        <w:tc>
          <w:tcPr>
            <w:tcW w:w="3686" w:type="dxa"/>
            <w:tcBorders>
              <w:top w:val="single" w:sz="4" w:space="0" w:color="auto"/>
            </w:tcBorders>
          </w:tcPr>
          <w:p w14:paraId="6EED3FD3" w14:textId="02209E44" w:rsidR="001A4083" w:rsidRDefault="001A4083" w:rsidP="003F2AF8">
            <w:pPr>
              <w:pStyle w:val="BodyText"/>
              <w:ind w:right="6"/>
              <w:jc w:val="both"/>
            </w:pPr>
            <w:r>
              <w:t>1. Người thu mua</w:t>
            </w:r>
          </w:p>
        </w:tc>
        <w:tc>
          <w:tcPr>
            <w:tcW w:w="2126" w:type="dxa"/>
            <w:tcBorders>
              <w:top w:val="single" w:sz="4" w:space="0" w:color="auto"/>
            </w:tcBorders>
          </w:tcPr>
          <w:p w14:paraId="1EB6695B" w14:textId="77777777" w:rsidR="001A4083" w:rsidRDefault="001A4083" w:rsidP="00157F64">
            <w:pPr>
              <w:pStyle w:val="BodyText"/>
              <w:ind w:right="6" w:firstLine="709"/>
              <w:jc w:val="center"/>
            </w:pPr>
          </w:p>
        </w:tc>
        <w:tc>
          <w:tcPr>
            <w:tcW w:w="2271" w:type="dxa"/>
            <w:gridSpan w:val="2"/>
            <w:tcBorders>
              <w:top w:val="single" w:sz="4" w:space="0" w:color="auto"/>
            </w:tcBorders>
          </w:tcPr>
          <w:p w14:paraId="56F48A85" w14:textId="77777777" w:rsidR="001A4083" w:rsidRDefault="001A4083" w:rsidP="00157F64">
            <w:pPr>
              <w:pStyle w:val="BodyText"/>
              <w:ind w:right="6" w:firstLine="709"/>
              <w:jc w:val="center"/>
            </w:pPr>
          </w:p>
        </w:tc>
      </w:tr>
      <w:tr w:rsidR="001A4083" w14:paraId="26B39E04" w14:textId="77777777" w:rsidTr="00AE59DF">
        <w:trPr>
          <w:gridAfter w:val="1"/>
          <w:wAfter w:w="569" w:type="dxa"/>
          <w:jc w:val="center"/>
        </w:trPr>
        <w:tc>
          <w:tcPr>
            <w:tcW w:w="3686" w:type="dxa"/>
          </w:tcPr>
          <w:p w14:paraId="1A376A93" w14:textId="0B6F1298" w:rsidR="001A4083" w:rsidRDefault="001A4083" w:rsidP="003F2AF8">
            <w:pPr>
              <w:pStyle w:val="BodyText"/>
              <w:ind w:right="6" w:firstLine="518"/>
              <w:jc w:val="both"/>
            </w:pPr>
            <w:r>
              <w:t>- HTX Quảng Thọ II</w:t>
            </w:r>
          </w:p>
        </w:tc>
        <w:tc>
          <w:tcPr>
            <w:tcW w:w="2126" w:type="dxa"/>
          </w:tcPr>
          <w:p w14:paraId="5B0055E7" w14:textId="1A91DD36" w:rsidR="001A4083" w:rsidRDefault="003E1965" w:rsidP="00AE59DF">
            <w:pPr>
              <w:pStyle w:val="BodyText"/>
              <w:ind w:right="594" w:firstLine="34"/>
              <w:jc w:val="right"/>
            </w:pPr>
            <w:r>
              <w:t>29,15</w:t>
            </w:r>
          </w:p>
        </w:tc>
        <w:tc>
          <w:tcPr>
            <w:tcW w:w="1702" w:type="dxa"/>
          </w:tcPr>
          <w:p w14:paraId="36EC6A37" w14:textId="60164DF8" w:rsidR="001A4083" w:rsidRDefault="001A4083" w:rsidP="00AE59DF">
            <w:pPr>
              <w:pStyle w:val="BodyText"/>
              <w:ind w:right="37" w:firstLine="34"/>
              <w:jc w:val="right"/>
            </w:pPr>
            <w:r>
              <w:t>0</w:t>
            </w:r>
            <w:r w:rsidR="003E1965">
              <w:t>,00</w:t>
            </w:r>
          </w:p>
        </w:tc>
      </w:tr>
      <w:tr w:rsidR="001A4083" w14:paraId="1C83CA6C" w14:textId="77777777" w:rsidTr="00AE59DF">
        <w:trPr>
          <w:gridAfter w:val="1"/>
          <w:wAfter w:w="569" w:type="dxa"/>
          <w:jc w:val="center"/>
        </w:trPr>
        <w:tc>
          <w:tcPr>
            <w:tcW w:w="3686" w:type="dxa"/>
          </w:tcPr>
          <w:p w14:paraId="36ACE960" w14:textId="080861F7" w:rsidR="001A4083" w:rsidRDefault="001A4083" w:rsidP="003F2AF8">
            <w:pPr>
              <w:pStyle w:val="BodyText"/>
              <w:ind w:right="6" w:firstLine="518"/>
              <w:jc w:val="both"/>
            </w:pPr>
            <w:r>
              <w:t>- Thương lái</w:t>
            </w:r>
          </w:p>
        </w:tc>
        <w:tc>
          <w:tcPr>
            <w:tcW w:w="2126" w:type="dxa"/>
          </w:tcPr>
          <w:p w14:paraId="2281EA08" w14:textId="2F32A057" w:rsidR="001A4083" w:rsidRDefault="003E1965" w:rsidP="00AE59DF">
            <w:pPr>
              <w:pStyle w:val="BodyText"/>
              <w:ind w:right="594" w:firstLine="34"/>
              <w:jc w:val="right"/>
            </w:pPr>
            <w:r>
              <w:t>64,55</w:t>
            </w:r>
          </w:p>
        </w:tc>
        <w:tc>
          <w:tcPr>
            <w:tcW w:w="1702" w:type="dxa"/>
          </w:tcPr>
          <w:p w14:paraId="6CFC0CCB" w14:textId="219D9300" w:rsidR="001A4083" w:rsidRDefault="003E1965" w:rsidP="00AE59DF">
            <w:pPr>
              <w:pStyle w:val="BodyText"/>
              <w:ind w:right="37" w:firstLine="34"/>
              <w:jc w:val="right"/>
            </w:pPr>
            <w:r>
              <w:t>78,22</w:t>
            </w:r>
          </w:p>
        </w:tc>
      </w:tr>
      <w:tr w:rsidR="001A4083" w14:paraId="6CF8DBF3" w14:textId="77777777" w:rsidTr="00AE59DF">
        <w:trPr>
          <w:gridAfter w:val="1"/>
          <w:wAfter w:w="569" w:type="dxa"/>
          <w:jc w:val="center"/>
        </w:trPr>
        <w:tc>
          <w:tcPr>
            <w:tcW w:w="3686" w:type="dxa"/>
          </w:tcPr>
          <w:p w14:paraId="07F91444" w14:textId="609E5966" w:rsidR="001A4083" w:rsidRDefault="001A4083" w:rsidP="003F2AF8">
            <w:pPr>
              <w:pStyle w:val="BodyText"/>
              <w:ind w:right="6" w:firstLine="518"/>
              <w:jc w:val="both"/>
            </w:pPr>
            <w:r>
              <w:t>- Người bán lẻ</w:t>
            </w:r>
          </w:p>
        </w:tc>
        <w:tc>
          <w:tcPr>
            <w:tcW w:w="2126" w:type="dxa"/>
          </w:tcPr>
          <w:p w14:paraId="798B24E1" w14:textId="66CBCCDE" w:rsidR="001A4083" w:rsidRDefault="003E1965" w:rsidP="00AE59DF">
            <w:pPr>
              <w:pStyle w:val="BodyText"/>
              <w:ind w:right="594" w:firstLine="34"/>
              <w:jc w:val="right"/>
            </w:pPr>
            <w:r>
              <w:t>6,30</w:t>
            </w:r>
          </w:p>
        </w:tc>
        <w:tc>
          <w:tcPr>
            <w:tcW w:w="1702" w:type="dxa"/>
          </w:tcPr>
          <w:p w14:paraId="6A12C412" w14:textId="5342B47E" w:rsidR="001A4083" w:rsidRDefault="003E1965" w:rsidP="00AE59DF">
            <w:pPr>
              <w:pStyle w:val="BodyText"/>
              <w:ind w:right="37" w:firstLine="34"/>
              <w:jc w:val="right"/>
            </w:pPr>
            <w:r>
              <w:t>21,78</w:t>
            </w:r>
          </w:p>
        </w:tc>
      </w:tr>
      <w:tr w:rsidR="001A4083" w14:paraId="45239E49" w14:textId="77777777" w:rsidTr="00AE59DF">
        <w:trPr>
          <w:gridAfter w:val="1"/>
          <w:wAfter w:w="569" w:type="dxa"/>
          <w:jc w:val="center"/>
        </w:trPr>
        <w:tc>
          <w:tcPr>
            <w:tcW w:w="3686" w:type="dxa"/>
          </w:tcPr>
          <w:p w14:paraId="6532D09C" w14:textId="73F11818" w:rsidR="001A4083" w:rsidRDefault="001A4083" w:rsidP="003F2AF8">
            <w:pPr>
              <w:pStyle w:val="BodyText"/>
              <w:ind w:right="6"/>
              <w:jc w:val="both"/>
            </w:pPr>
            <w:r>
              <w:t>2. Có hợp đồng với</w:t>
            </w:r>
          </w:p>
        </w:tc>
        <w:tc>
          <w:tcPr>
            <w:tcW w:w="2126" w:type="dxa"/>
          </w:tcPr>
          <w:p w14:paraId="6979D885" w14:textId="77777777" w:rsidR="001A4083" w:rsidRDefault="001A4083" w:rsidP="00AE59DF">
            <w:pPr>
              <w:pStyle w:val="BodyText"/>
              <w:ind w:right="594" w:firstLine="34"/>
              <w:jc w:val="right"/>
            </w:pPr>
          </w:p>
        </w:tc>
        <w:tc>
          <w:tcPr>
            <w:tcW w:w="1702" w:type="dxa"/>
          </w:tcPr>
          <w:p w14:paraId="02745D15" w14:textId="77777777" w:rsidR="001A4083" w:rsidRDefault="001A4083" w:rsidP="00AE59DF">
            <w:pPr>
              <w:pStyle w:val="BodyText"/>
              <w:ind w:right="37" w:firstLine="34"/>
              <w:jc w:val="right"/>
            </w:pPr>
          </w:p>
        </w:tc>
      </w:tr>
      <w:tr w:rsidR="001A4083" w14:paraId="6A80B207" w14:textId="77777777" w:rsidTr="00AE59DF">
        <w:trPr>
          <w:gridAfter w:val="1"/>
          <w:wAfter w:w="569" w:type="dxa"/>
          <w:jc w:val="center"/>
        </w:trPr>
        <w:tc>
          <w:tcPr>
            <w:tcW w:w="3686" w:type="dxa"/>
          </w:tcPr>
          <w:p w14:paraId="2DD7DE42" w14:textId="2B3EEBF4" w:rsidR="001A4083" w:rsidRDefault="001A4083" w:rsidP="003F2AF8">
            <w:pPr>
              <w:pStyle w:val="BodyText"/>
              <w:ind w:right="6" w:firstLine="518"/>
              <w:jc w:val="both"/>
            </w:pPr>
            <w:r>
              <w:t>- HTX Quảng Thọ II</w:t>
            </w:r>
          </w:p>
        </w:tc>
        <w:tc>
          <w:tcPr>
            <w:tcW w:w="2126" w:type="dxa"/>
          </w:tcPr>
          <w:p w14:paraId="4D765820" w14:textId="35ED6328" w:rsidR="001A4083" w:rsidRDefault="003E1965" w:rsidP="00AE59DF">
            <w:pPr>
              <w:pStyle w:val="BodyText"/>
              <w:ind w:right="594" w:firstLine="34"/>
              <w:jc w:val="right"/>
            </w:pPr>
            <w:r>
              <w:t>29,15</w:t>
            </w:r>
          </w:p>
        </w:tc>
        <w:tc>
          <w:tcPr>
            <w:tcW w:w="1702" w:type="dxa"/>
          </w:tcPr>
          <w:p w14:paraId="501FAEC6" w14:textId="495B4DB1" w:rsidR="001A4083" w:rsidRDefault="001A4083" w:rsidP="00AE59DF">
            <w:pPr>
              <w:pStyle w:val="BodyText"/>
              <w:ind w:right="37" w:firstLine="34"/>
              <w:jc w:val="right"/>
            </w:pPr>
            <w:r>
              <w:t>0</w:t>
            </w:r>
            <w:r w:rsidR="003E1965">
              <w:t>,00</w:t>
            </w:r>
          </w:p>
        </w:tc>
      </w:tr>
      <w:tr w:rsidR="001A4083" w14:paraId="28942FF8" w14:textId="77777777" w:rsidTr="00AE59DF">
        <w:trPr>
          <w:gridAfter w:val="1"/>
          <w:wAfter w:w="569" w:type="dxa"/>
          <w:jc w:val="center"/>
        </w:trPr>
        <w:tc>
          <w:tcPr>
            <w:tcW w:w="3686" w:type="dxa"/>
          </w:tcPr>
          <w:p w14:paraId="546C7FB6" w14:textId="07829598" w:rsidR="001A4083" w:rsidRDefault="001A4083" w:rsidP="003F2AF8">
            <w:pPr>
              <w:pStyle w:val="BodyText"/>
              <w:ind w:right="6" w:firstLine="518"/>
              <w:jc w:val="both"/>
            </w:pPr>
            <w:r>
              <w:t>- Thương lái</w:t>
            </w:r>
          </w:p>
        </w:tc>
        <w:tc>
          <w:tcPr>
            <w:tcW w:w="2126" w:type="dxa"/>
          </w:tcPr>
          <w:p w14:paraId="616C3C49" w14:textId="055658E4" w:rsidR="001A4083" w:rsidRDefault="001A4083" w:rsidP="00AE59DF">
            <w:pPr>
              <w:pStyle w:val="BodyText"/>
              <w:ind w:right="594" w:firstLine="34"/>
              <w:jc w:val="right"/>
            </w:pPr>
            <w:r>
              <w:t>0</w:t>
            </w:r>
            <w:r w:rsidR="003E1965">
              <w:t>,00</w:t>
            </w:r>
          </w:p>
        </w:tc>
        <w:tc>
          <w:tcPr>
            <w:tcW w:w="1702" w:type="dxa"/>
          </w:tcPr>
          <w:p w14:paraId="1051AE30" w14:textId="52944EFC" w:rsidR="001A4083" w:rsidRDefault="001A4083" w:rsidP="00AE59DF">
            <w:pPr>
              <w:pStyle w:val="BodyText"/>
              <w:ind w:right="37" w:firstLine="34"/>
              <w:jc w:val="right"/>
            </w:pPr>
            <w:r>
              <w:t>0</w:t>
            </w:r>
            <w:r w:rsidR="003E1965">
              <w:t>,00</w:t>
            </w:r>
          </w:p>
        </w:tc>
      </w:tr>
      <w:tr w:rsidR="001A4083" w14:paraId="7E7C31AF" w14:textId="77777777" w:rsidTr="00AE59DF">
        <w:trPr>
          <w:gridAfter w:val="1"/>
          <w:wAfter w:w="569" w:type="dxa"/>
          <w:jc w:val="center"/>
        </w:trPr>
        <w:tc>
          <w:tcPr>
            <w:tcW w:w="3686" w:type="dxa"/>
          </w:tcPr>
          <w:p w14:paraId="732067E1" w14:textId="759C4D9A" w:rsidR="001A4083" w:rsidRDefault="001A4083" w:rsidP="003F2AF8">
            <w:pPr>
              <w:pStyle w:val="BodyText"/>
              <w:ind w:right="6"/>
              <w:jc w:val="both"/>
            </w:pPr>
            <w:r>
              <w:t>3. Giá thu mua</w:t>
            </w:r>
          </w:p>
        </w:tc>
        <w:tc>
          <w:tcPr>
            <w:tcW w:w="2126" w:type="dxa"/>
          </w:tcPr>
          <w:p w14:paraId="3D3E2530" w14:textId="77777777" w:rsidR="001A4083" w:rsidRDefault="001A4083" w:rsidP="00AE59DF">
            <w:pPr>
              <w:pStyle w:val="BodyText"/>
              <w:ind w:right="594" w:firstLine="34"/>
              <w:jc w:val="right"/>
            </w:pPr>
          </w:p>
        </w:tc>
        <w:tc>
          <w:tcPr>
            <w:tcW w:w="1702" w:type="dxa"/>
          </w:tcPr>
          <w:p w14:paraId="1425856C" w14:textId="77777777" w:rsidR="001A4083" w:rsidRDefault="001A4083" w:rsidP="00AE59DF">
            <w:pPr>
              <w:pStyle w:val="BodyText"/>
              <w:ind w:right="37" w:firstLine="34"/>
              <w:jc w:val="right"/>
            </w:pPr>
          </w:p>
        </w:tc>
      </w:tr>
      <w:tr w:rsidR="001A4083" w14:paraId="56EFEDF6" w14:textId="77777777" w:rsidTr="00AE59DF">
        <w:trPr>
          <w:gridAfter w:val="1"/>
          <w:wAfter w:w="569" w:type="dxa"/>
          <w:jc w:val="center"/>
        </w:trPr>
        <w:tc>
          <w:tcPr>
            <w:tcW w:w="3686" w:type="dxa"/>
          </w:tcPr>
          <w:p w14:paraId="34DFE519" w14:textId="58D8A20F" w:rsidR="001A4083" w:rsidRDefault="001A4083" w:rsidP="003F2AF8">
            <w:pPr>
              <w:pStyle w:val="BodyText"/>
              <w:ind w:right="6" w:firstLine="518"/>
              <w:jc w:val="both"/>
            </w:pPr>
            <w:r>
              <w:t>- Theo hợp đồng</w:t>
            </w:r>
          </w:p>
        </w:tc>
        <w:tc>
          <w:tcPr>
            <w:tcW w:w="2126" w:type="dxa"/>
          </w:tcPr>
          <w:p w14:paraId="0C64C128" w14:textId="4EC0C371" w:rsidR="001A4083" w:rsidRDefault="003E1965" w:rsidP="00AE59DF">
            <w:pPr>
              <w:pStyle w:val="BodyText"/>
              <w:ind w:right="594" w:firstLine="34"/>
              <w:jc w:val="right"/>
            </w:pPr>
            <w:r>
              <w:t>29,15</w:t>
            </w:r>
          </w:p>
        </w:tc>
        <w:tc>
          <w:tcPr>
            <w:tcW w:w="1702" w:type="dxa"/>
          </w:tcPr>
          <w:p w14:paraId="1052E38A" w14:textId="26423AD8" w:rsidR="001A4083" w:rsidRDefault="001A4083" w:rsidP="00AE59DF">
            <w:pPr>
              <w:pStyle w:val="BodyText"/>
              <w:ind w:right="37" w:firstLine="34"/>
              <w:jc w:val="right"/>
            </w:pPr>
            <w:r>
              <w:t>0</w:t>
            </w:r>
            <w:r w:rsidR="003E1965">
              <w:t>,00</w:t>
            </w:r>
          </w:p>
        </w:tc>
      </w:tr>
      <w:tr w:rsidR="001A4083" w14:paraId="59EB793B" w14:textId="77777777" w:rsidTr="00AE59DF">
        <w:trPr>
          <w:gridAfter w:val="1"/>
          <w:wAfter w:w="569" w:type="dxa"/>
          <w:jc w:val="center"/>
        </w:trPr>
        <w:tc>
          <w:tcPr>
            <w:tcW w:w="3686" w:type="dxa"/>
            <w:tcBorders>
              <w:bottom w:val="single" w:sz="4" w:space="0" w:color="auto"/>
            </w:tcBorders>
          </w:tcPr>
          <w:p w14:paraId="7CDAAE38" w14:textId="3A834D08" w:rsidR="001A4083" w:rsidRDefault="001A4083" w:rsidP="003F2AF8">
            <w:pPr>
              <w:pStyle w:val="BodyText"/>
              <w:ind w:right="6" w:firstLine="518"/>
              <w:jc w:val="both"/>
            </w:pPr>
            <w:r>
              <w:t>- Theo giá người thu mua</w:t>
            </w:r>
          </w:p>
        </w:tc>
        <w:tc>
          <w:tcPr>
            <w:tcW w:w="2126" w:type="dxa"/>
            <w:tcBorders>
              <w:bottom w:val="single" w:sz="4" w:space="0" w:color="auto"/>
            </w:tcBorders>
          </w:tcPr>
          <w:p w14:paraId="6C5A89C2" w14:textId="20D2B3E5" w:rsidR="001A4083" w:rsidRDefault="003E1965" w:rsidP="00AE59DF">
            <w:pPr>
              <w:pStyle w:val="BodyText"/>
              <w:ind w:right="594" w:firstLine="34"/>
              <w:jc w:val="right"/>
            </w:pPr>
            <w:r>
              <w:t>70,85</w:t>
            </w:r>
          </w:p>
        </w:tc>
        <w:tc>
          <w:tcPr>
            <w:tcW w:w="1702" w:type="dxa"/>
            <w:tcBorders>
              <w:bottom w:val="single" w:sz="4" w:space="0" w:color="auto"/>
            </w:tcBorders>
          </w:tcPr>
          <w:p w14:paraId="6863DB93" w14:textId="234E8F47" w:rsidR="001A4083" w:rsidRDefault="001A4083" w:rsidP="00AE59DF">
            <w:pPr>
              <w:pStyle w:val="BodyText"/>
              <w:ind w:right="37" w:firstLine="34"/>
              <w:jc w:val="right"/>
            </w:pPr>
            <w:r>
              <w:t>100</w:t>
            </w:r>
            <w:r w:rsidR="003E1965">
              <w:t>,00</w:t>
            </w:r>
          </w:p>
        </w:tc>
      </w:tr>
    </w:tbl>
    <w:p w14:paraId="4250E4BC" w14:textId="16DF82DC" w:rsidR="001A4083" w:rsidRPr="00C16982" w:rsidRDefault="00C16982" w:rsidP="00157F64">
      <w:pPr>
        <w:pStyle w:val="BodyText"/>
        <w:spacing w:line="360" w:lineRule="auto"/>
        <w:ind w:right="4" w:firstLine="709"/>
        <w:jc w:val="right"/>
        <w:rPr>
          <w:i/>
          <w:iCs/>
        </w:rPr>
      </w:pPr>
      <w:r w:rsidRPr="00C16982">
        <w:rPr>
          <w:i/>
          <w:iCs/>
        </w:rPr>
        <w:t>(Nguồn: Số liệu khảo sát hộ sản xuất rau má năm 2019)</w:t>
      </w:r>
    </w:p>
    <w:p w14:paraId="19BDFBB7" w14:textId="28FDE983" w:rsidR="001A4083" w:rsidRDefault="00157F64" w:rsidP="00157F64">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Kết quả khảo sát </w:t>
      </w:r>
      <w:r w:rsidR="002A3337">
        <w:rPr>
          <w:rFonts w:ascii="Times New Roman" w:hAnsi="Times New Roman" w:cs="Times New Roman"/>
          <w:sz w:val="26"/>
          <w:szCs w:val="26"/>
        </w:rPr>
        <w:t xml:space="preserve">Bảng 2 </w:t>
      </w:r>
      <w:r>
        <w:rPr>
          <w:rFonts w:ascii="Times New Roman" w:hAnsi="Times New Roman" w:cs="Times New Roman"/>
          <w:sz w:val="26"/>
          <w:szCs w:val="26"/>
        </w:rPr>
        <w:t>cho thấy</w:t>
      </w:r>
      <w:r w:rsidR="002F3F54">
        <w:rPr>
          <w:rFonts w:ascii="Times New Roman" w:hAnsi="Times New Roman" w:cs="Times New Roman"/>
          <w:sz w:val="26"/>
          <w:szCs w:val="26"/>
        </w:rPr>
        <w:t>,</w:t>
      </w:r>
      <w:r w:rsidR="00EE10C5">
        <w:rPr>
          <w:rFonts w:ascii="Times New Roman" w:hAnsi="Times New Roman" w:cs="Times New Roman"/>
          <w:sz w:val="26"/>
          <w:szCs w:val="26"/>
        </w:rPr>
        <w:t xml:space="preserve"> c</w:t>
      </w:r>
      <w:r w:rsidR="00792CD1">
        <w:rPr>
          <w:rFonts w:ascii="Times New Roman" w:hAnsi="Times New Roman" w:cs="Times New Roman"/>
          <w:sz w:val="26"/>
          <w:szCs w:val="26"/>
        </w:rPr>
        <w:t>ó 3 đối tượng tham gia và</w:t>
      </w:r>
      <w:r w:rsidR="002A3337">
        <w:rPr>
          <w:rFonts w:ascii="Times New Roman" w:hAnsi="Times New Roman" w:cs="Times New Roman"/>
          <w:sz w:val="26"/>
          <w:szCs w:val="26"/>
        </w:rPr>
        <w:t>o</w:t>
      </w:r>
      <w:r w:rsidR="00792CD1">
        <w:rPr>
          <w:rFonts w:ascii="Times New Roman" w:hAnsi="Times New Roman" w:cs="Times New Roman"/>
          <w:sz w:val="26"/>
          <w:szCs w:val="26"/>
        </w:rPr>
        <w:t xml:space="preserve"> quá trình thu mua sản phẩm rau má là </w:t>
      </w:r>
      <w:r w:rsidR="00B40BC4">
        <w:rPr>
          <w:rFonts w:ascii="Times New Roman" w:hAnsi="Times New Roman" w:cs="Times New Roman"/>
          <w:sz w:val="26"/>
          <w:szCs w:val="26"/>
        </w:rPr>
        <w:t>HTX</w:t>
      </w:r>
      <w:r w:rsidR="00792CD1">
        <w:rPr>
          <w:rFonts w:ascii="Times New Roman" w:hAnsi="Times New Roman" w:cs="Times New Roman"/>
          <w:sz w:val="26"/>
          <w:szCs w:val="26"/>
        </w:rPr>
        <w:t xml:space="preserve"> </w:t>
      </w:r>
      <w:r w:rsidR="002A3337">
        <w:rPr>
          <w:rFonts w:ascii="Times New Roman" w:hAnsi="Times New Roman" w:cs="Times New Roman"/>
          <w:sz w:val="26"/>
          <w:szCs w:val="26"/>
        </w:rPr>
        <w:t xml:space="preserve">nông nghiệp </w:t>
      </w:r>
      <w:r w:rsidR="00792CD1">
        <w:rPr>
          <w:rFonts w:ascii="Times New Roman" w:hAnsi="Times New Roman" w:cs="Times New Roman"/>
          <w:sz w:val="26"/>
          <w:szCs w:val="26"/>
        </w:rPr>
        <w:t xml:space="preserve">Quảng Thọ </w:t>
      </w:r>
      <w:r w:rsidR="000668FC">
        <w:rPr>
          <w:rFonts w:ascii="Times New Roman" w:hAnsi="Times New Roman" w:cs="Times New Roman"/>
          <w:sz w:val="26"/>
          <w:szCs w:val="26"/>
        </w:rPr>
        <w:t>II, thương lái và người bán lẻ</w:t>
      </w:r>
      <w:r>
        <w:rPr>
          <w:rFonts w:ascii="Times New Roman" w:hAnsi="Times New Roman" w:cs="Times New Roman"/>
          <w:sz w:val="26"/>
          <w:szCs w:val="26"/>
        </w:rPr>
        <w:t xml:space="preserve">. </w:t>
      </w:r>
      <w:r w:rsidR="00B40BC4">
        <w:rPr>
          <w:rFonts w:ascii="Times New Roman" w:hAnsi="Times New Roman" w:cs="Times New Roman"/>
          <w:sz w:val="26"/>
          <w:szCs w:val="26"/>
        </w:rPr>
        <w:t>HTX</w:t>
      </w:r>
      <w:r>
        <w:rPr>
          <w:rFonts w:ascii="Times New Roman" w:hAnsi="Times New Roman" w:cs="Times New Roman"/>
          <w:sz w:val="26"/>
          <w:szCs w:val="26"/>
        </w:rPr>
        <w:t xml:space="preserve"> </w:t>
      </w:r>
      <w:r w:rsidR="002A3337">
        <w:rPr>
          <w:rFonts w:ascii="Times New Roman" w:hAnsi="Times New Roman" w:cs="Times New Roman"/>
          <w:sz w:val="26"/>
          <w:szCs w:val="26"/>
        </w:rPr>
        <w:t xml:space="preserve">nông nghiệp </w:t>
      </w:r>
      <w:r>
        <w:rPr>
          <w:rFonts w:ascii="Times New Roman" w:hAnsi="Times New Roman" w:cs="Times New Roman"/>
          <w:sz w:val="26"/>
          <w:szCs w:val="26"/>
        </w:rPr>
        <w:t xml:space="preserve">Quảng Thọ II chỉ thu mua </w:t>
      </w:r>
      <w:r w:rsidR="00EE10C5">
        <w:rPr>
          <w:rFonts w:ascii="Times New Roman" w:hAnsi="Times New Roman" w:cs="Times New Roman"/>
          <w:sz w:val="26"/>
          <w:szCs w:val="26"/>
        </w:rPr>
        <w:t xml:space="preserve">sản phẩm rau má VietGAP với khối lượng thu mua chiếm </w:t>
      </w:r>
      <w:r w:rsidR="00AE59DF">
        <w:rPr>
          <w:rFonts w:ascii="Times New Roman" w:hAnsi="Times New Roman" w:cs="Times New Roman"/>
          <w:sz w:val="26"/>
          <w:szCs w:val="26"/>
        </w:rPr>
        <w:t>29,15</w:t>
      </w:r>
      <w:r w:rsidR="00EE10C5">
        <w:rPr>
          <w:rFonts w:ascii="Times New Roman" w:hAnsi="Times New Roman" w:cs="Times New Roman"/>
          <w:sz w:val="26"/>
          <w:szCs w:val="26"/>
        </w:rPr>
        <w:t xml:space="preserve">%. Các hộ bán sản phẩm cho </w:t>
      </w:r>
      <w:r w:rsidR="002F3F54">
        <w:rPr>
          <w:rFonts w:ascii="Times New Roman" w:hAnsi="Times New Roman" w:cs="Times New Roman"/>
          <w:sz w:val="26"/>
          <w:szCs w:val="26"/>
        </w:rPr>
        <w:t xml:space="preserve">HTX </w:t>
      </w:r>
      <w:r w:rsidR="00161EB4">
        <w:rPr>
          <w:rFonts w:ascii="Times New Roman" w:hAnsi="Times New Roman" w:cs="Times New Roman"/>
          <w:sz w:val="26"/>
          <w:szCs w:val="26"/>
        </w:rPr>
        <w:t xml:space="preserve">nông nghiệp </w:t>
      </w:r>
      <w:r w:rsidR="00EE10C5">
        <w:rPr>
          <w:rFonts w:ascii="Times New Roman" w:hAnsi="Times New Roman" w:cs="Times New Roman"/>
          <w:sz w:val="26"/>
          <w:szCs w:val="26"/>
        </w:rPr>
        <w:t>Quảng Thọ II đều có hợp đồng tiêu thụ sản phẩm. Trong hợp đồng thu mua</w:t>
      </w:r>
      <w:r w:rsidR="00161EB4">
        <w:rPr>
          <w:rFonts w:ascii="Times New Roman" w:hAnsi="Times New Roman" w:cs="Times New Roman"/>
          <w:sz w:val="26"/>
          <w:szCs w:val="26"/>
        </w:rPr>
        <w:t>,</w:t>
      </w:r>
      <w:r w:rsidR="00EE10C5">
        <w:rPr>
          <w:rFonts w:ascii="Times New Roman" w:hAnsi="Times New Roman" w:cs="Times New Roman"/>
          <w:sz w:val="26"/>
          <w:szCs w:val="26"/>
        </w:rPr>
        <w:t xml:space="preserve"> mặc dù chưa quy định mức giá thu mua cụ thể</w:t>
      </w:r>
      <w:r w:rsidR="00161EB4">
        <w:rPr>
          <w:rFonts w:ascii="Times New Roman" w:hAnsi="Times New Roman" w:cs="Times New Roman"/>
          <w:sz w:val="26"/>
          <w:szCs w:val="26"/>
        </w:rPr>
        <w:t>,</w:t>
      </w:r>
      <w:r w:rsidR="00EE10C5">
        <w:rPr>
          <w:rFonts w:ascii="Times New Roman" w:hAnsi="Times New Roman" w:cs="Times New Roman"/>
          <w:sz w:val="26"/>
          <w:szCs w:val="26"/>
        </w:rPr>
        <w:t xml:space="preserve"> nhưng có quy định mức giá thu mua tối thiểu là không dưới 4.000 đồng/kg (Đây là mức giá cao hơn giá thành sản xuất, nhằm cam kết tránh được tình trạng thua lỗ cho hộ sản xuất </w:t>
      </w:r>
      <w:r w:rsidR="006D7D07">
        <w:rPr>
          <w:rFonts w:ascii="Times New Roman" w:hAnsi="Times New Roman" w:cs="Times New Roman"/>
          <w:sz w:val="26"/>
          <w:szCs w:val="26"/>
        </w:rPr>
        <w:t xml:space="preserve">trong trường hợp giá rau má trên thị trường xuống thấp). Mặt khác, kết quả khảo sát các hộ cho thấy việc sản xuất và tiêu thụ sản phẩm thông qua </w:t>
      </w:r>
      <w:r w:rsidR="002F3F54">
        <w:rPr>
          <w:rFonts w:ascii="Times New Roman" w:hAnsi="Times New Roman" w:cs="Times New Roman"/>
          <w:sz w:val="26"/>
          <w:szCs w:val="26"/>
        </w:rPr>
        <w:t>HTX</w:t>
      </w:r>
      <w:r w:rsidR="006D7D07">
        <w:rPr>
          <w:rFonts w:ascii="Times New Roman" w:hAnsi="Times New Roman" w:cs="Times New Roman"/>
          <w:sz w:val="26"/>
          <w:szCs w:val="26"/>
        </w:rPr>
        <w:t xml:space="preserve"> </w:t>
      </w:r>
      <w:r w:rsidR="00161EB4">
        <w:rPr>
          <w:rFonts w:ascii="Times New Roman" w:hAnsi="Times New Roman" w:cs="Times New Roman"/>
          <w:sz w:val="26"/>
          <w:szCs w:val="26"/>
        </w:rPr>
        <w:t xml:space="preserve">nông nghiệp </w:t>
      </w:r>
      <w:r w:rsidR="006D7D07">
        <w:rPr>
          <w:rFonts w:ascii="Times New Roman" w:hAnsi="Times New Roman" w:cs="Times New Roman"/>
          <w:sz w:val="26"/>
          <w:szCs w:val="26"/>
        </w:rPr>
        <w:t>Q</w:t>
      </w:r>
      <w:r w:rsidR="00CE21F0">
        <w:rPr>
          <w:rFonts w:ascii="Times New Roman" w:hAnsi="Times New Roman" w:cs="Times New Roman"/>
          <w:sz w:val="26"/>
          <w:szCs w:val="26"/>
        </w:rPr>
        <w:t>u</w:t>
      </w:r>
      <w:r w:rsidR="006D7D07">
        <w:rPr>
          <w:rFonts w:ascii="Times New Roman" w:hAnsi="Times New Roman" w:cs="Times New Roman"/>
          <w:sz w:val="26"/>
          <w:szCs w:val="26"/>
        </w:rPr>
        <w:t xml:space="preserve">ảng Thọ II đã bước đầu được hình thành theo chuỗi giá trị, tạo điều kiện cho người dân an tâm sản xuất xuất. </w:t>
      </w:r>
      <w:r w:rsidR="00CE21F0">
        <w:rPr>
          <w:rFonts w:ascii="Times New Roman" w:hAnsi="Times New Roman" w:cs="Times New Roman"/>
          <w:sz w:val="26"/>
          <w:szCs w:val="26"/>
        </w:rPr>
        <w:t xml:space="preserve">Thương lái và người bán lẻ thu mua cả sản phẩm rau má VietGAP và rau má truyền thống. Trong đó, thương lái là đối tượng thu mua chính, </w:t>
      </w:r>
      <w:r w:rsidR="00AE59DF">
        <w:rPr>
          <w:rFonts w:ascii="Times New Roman" w:hAnsi="Times New Roman" w:cs="Times New Roman"/>
          <w:sz w:val="26"/>
          <w:szCs w:val="26"/>
        </w:rPr>
        <w:t>64,55</w:t>
      </w:r>
      <w:r w:rsidR="00CE21F0">
        <w:rPr>
          <w:rFonts w:ascii="Times New Roman" w:hAnsi="Times New Roman" w:cs="Times New Roman"/>
          <w:sz w:val="26"/>
          <w:szCs w:val="26"/>
        </w:rPr>
        <w:t xml:space="preserve">% khối lượng rau má VietGAP và </w:t>
      </w:r>
      <w:r w:rsidR="00AE59DF">
        <w:rPr>
          <w:rFonts w:ascii="Times New Roman" w:hAnsi="Times New Roman" w:cs="Times New Roman"/>
          <w:sz w:val="26"/>
          <w:szCs w:val="26"/>
        </w:rPr>
        <w:t>78,22</w:t>
      </w:r>
      <w:r w:rsidR="00CE21F0">
        <w:rPr>
          <w:rFonts w:ascii="Times New Roman" w:hAnsi="Times New Roman" w:cs="Times New Roman"/>
          <w:sz w:val="26"/>
          <w:szCs w:val="26"/>
        </w:rPr>
        <w:t>% khối lượng rau má truyền thống.</w:t>
      </w:r>
      <w:r w:rsidR="00A747C6">
        <w:rPr>
          <w:rFonts w:ascii="Times New Roman" w:hAnsi="Times New Roman" w:cs="Times New Roman"/>
          <w:sz w:val="26"/>
          <w:szCs w:val="26"/>
        </w:rPr>
        <w:t xml:space="preserve"> </w:t>
      </w:r>
      <w:r w:rsidR="00020DB4">
        <w:rPr>
          <w:rFonts w:ascii="Times New Roman" w:hAnsi="Times New Roman" w:cs="Times New Roman"/>
          <w:sz w:val="26"/>
          <w:szCs w:val="26"/>
        </w:rPr>
        <w:t xml:space="preserve">Người bán lẻ mua 6,3% khối </w:t>
      </w:r>
      <w:r w:rsidR="00020DB4">
        <w:rPr>
          <w:rFonts w:ascii="Times New Roman" w:hAnsi="Times New Roman" w:cs="Times New Roman"/>
          <w:sz w:val="26"/>
          <w:szCs w:val="26"/>
        </w:rPr>
        <w:lastRenderedPageBreak/>
        <w:t xml:space="preserve">lượng rau má VietGAP và 21,78% khối lượng rau má truyền thống. </w:t>
      </w:r>
      <w:r w:rsidR="005E6619">
        <w:rPr>
          <w:rFonts w:ascii="Times New Roman" w:hAnsi="Times New Roman" w:cs="Times New Roman"/>
          <w:sz w:val="26"/>
          <w:szCs w:val="26"/>
        </w:rPr>
        <w:t>Việc bán sản phẩm rau má cho thương lái và người bán lẻ thường không có hợp đồng ràng buộc về chất lượng và giá cả, giá mua sản phẩm thường thay đổi theo giá thị trường và do người mua đưa ra</w:t>
      </w:r>
      <w:r w:rsidR="00486EC0">
        <w:rPr>
          <w:rFonts w:ascii="Times New Roman" w:hAnsi="Times New Roman" w:cs="Times New Roman"/>
          <w:sz w:val="26"/>
          <w:szCs w:val="26"/>
        </w:rPr>
        <w:t>, không có sự khác nhau giữa rau má VietGAP và rau má truyền thống</w:t>
      </w:r>
      <w:r w:rsidR="005E6619">
        <w:rPr>
          <w:rFonts w:ascii="Times New Roman" w:hAnsi="Times New Roman" w:cs="Times New Roman"/>
          <w:sz w:val="26"/>
          <w:szCs w:val="26"/>
        </w:rPr>
        <w:t>. Điều này đã gây nhiều rủi ro cho hộ sản xuất rau má đặc biệt là sản xuất rau má VietGAP.</w:t>
      </w:r>
      <w:r w:rsidR="00020DB4">
        <w:rPr>
          <w:rFonts w:ascii="Times New Roman" w:hAnsi="Times New Roman" w:cs="Times New Roman"/>
          <w:sz w:val="26"/>
          <w:szCs w:val="26"/>
        </w:rPr>
        <w:t xml:space="preserve"> </w:t>
      </w:r>
    </w:p>
    <w:p w14:paraId="23FA7B1F" w14:textId="2096D045" w:rsidR="00020DB4" w:rsidRDefault="00A061B1" w:rsidP="00157F64">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Khối lượng s</w:t>
      </w:r>
      <w:r w:rsidR="00020DB4">
        <w:rPr>
          <w:rFonts w:ascii="Times New Roman" w:hAnsi="Times New Roman" w:cs="Times New Roman"/>
          <w:sz w:val="26"/>
          <w:szCs w:val="26"/>
        </w:rPr>
        <w:t xml:space="preserve">ản phẩm rau má </w:t>
      </w:r>
      <w:r>
        <w:rPr>
          <w:rFonts w:ascii="Times New Roman" w:hAnsi="Times New Roman" w:cs="Times New Roman"/>
          <w:sz w:val="26"/>
          <w:szCs w:val="26"/>
        </w:rPr>
        <w:t>VietGAP được HTX thu mua sẽ được chế biến thành trà rau má hoặc sơ chế và đóng gói để cung cấp cho hệ thống siêu thị, nhà hàng, trường học trên địa bàn tỉnh Thừa Thiên Huế hoặc các cơ sở thu mua ngoài tỉnh thông qua hợp đồng tiêu thụ đã được ký kết. Khối lượng rau má VietGAP được thương lái thu mua sẽ được cung cấp cho các địa lý tại chợ đầu mối Bãi Dâu, Đông Ba hoặc gửi theo xe để bán cho các tỉnh Đà Nẵng, Quảng Nam</w:t>
      </w:r>
      <w:r w:rsidR="002F3F54">
        <w:rPr>
          <w:rFonts w:ascii="Times New Roman" w:hAnsi="Times New Roman" w:cs="Times New Roman"/>
          <w:sz w:val="26"/>
          <w:szCs w:val="26"/>
        </w:rPr>
        <w:t>.</w:t>
      </w:r>
    </w:p>
    <w:p w14:paraId="7B857A6E" w14:textId="24F96351" w:rsidR="002D4AB6" w:rsidRDefault="00D44219" w:rsidP="00B2567C">
      <w:pPr>
        <w:spacing w:after="0" w:line="360" w:lineRule="auto"/>
        <w:jc w:val="both"/>
        <w:rPr>
          <w:rFonts w:ascii="Times New Roman" w:hAnsi="Times New Roman" w:cs="Times New Roman"/>
          <w:b/>
          <w:bCs/>
          <w:sz w:val="26"/>
          <w:szCs w:val="26"/>
        </w:rPr>
      </w:pPr>
      <w:r w:rsidRPr="00565192">
        <w:rPr>
          <w:rFonts w:ascii="Times New Roman" w:hAnsi="Times New Roman" w:cs="Times New Roman"/>
          <w:b/>
          <w:bCs/>
          <w:sz w:val="26"/>
          <w:szCs w:val="26"/>
        </w:rPr>
        <w:t>HIỆU QUẢ SẢN XUẤT RAU MÁ</w:t>
      </w:r>
      <w:r w:rsidR="00BE15B6" w:rsidRPr="00565192">
        <w:rPr>
          <w:rFonts w:ascii="Times New Roman" w:hAnsi="Times New Roman" w:cs="Times New Roman"/>
          <w:b/>
          <w:bCs/>
          <w:sz w:val="26"/>
          <w:szCs w:val="26"/>
        </w:rPr>
        <w:t xml:space="preserve"> </w:t>
      </w:r>
      <w:r w:rsidR="00F406C0">
        <w:rPr>
          <w:rFonts w:ascii="Times New Roman" w:hAnsi="Times New Roman" w:cs="Times New Roman"/>
          <w:b/>
          <w:bCs/>
          <w:sz w:val="26"/>
          <w:szCs w:val="26"/>
        </w:rPr>
        <w:t xml:space="preserve">THEO TIÊU CHUẨN </w:t>
      </w:r>
      <w:r w:rsidR="00BE15B6" w:rsidRPr="00565192">
        <w:rPr>
          <w:rFonts w:ascii="Times New Roman" w:hAnsi="Times New Roman" w:cs="Times New Roman"/>
          <w:b/>
          <w:bCs/>
          <w:sz w:val="26"/>
          <w:szCs w:val="26"/>
        </w:rPr>
        <w:t>VIETGAP</w:t>
      </w:r>
    </w:p>
    <w:p w14:paraId="2DD97E12" w14:textId="60589031" w:rsidR="00C23B73" w:rsidRPr="00C546AB" w:rsidRDefault="00C23B73" w:rsidP="00C546AB">
      <w:pPr>
        <w:spacing w:after="0" w:line="240" w:lineRule="auto"/>
        <w:jc w:val="center"/>
        <w:rPr>
          <w:rFonts w:ascii="Times New Roman" w:hAnsi="Times New Roman" w:cs="Times New Roman"/>
          <w:b/>
          <w:bCs/>
          <w:sz w:val="26"/>
          <w:szCs w:val="26"/>
        </w:rPr>
      </w:pPr>
      <w:r w:rsidRPr="00C546AB">
        <w:rPr>
          <w:rFonts w:ascii="Times New Roman" w:hAnsi="Times New Roman" w:cs="Times New Roman"/>
          <w:b/>
          <w:bCs/>
          <w:sz w:val="26"/>
          <w:szCs w:val="26"/>
        </w:rPr>
        <w:t xml:space="preserve">Bảng </w:t>
      </w:r>
      <w:r w:rsidR="00C546AB" w:rsidRPr="00C546AB">
        <w:rPr>
          <w:rFonts w:ascii="Times New Roman" w:hAnsi="Times New Roman" w:cs="Times New Roman"/>
          <w:b/>
          <w:bCs/>
          <w:sz w:val="26"/>
          <w:szCs w:val="26"/>
        </w:rPr>
        <w:t>3</w:t>
      </w:r>
      <w:r w:rsidRPr="00C546AB">
        <w:rPr>
          <w:rFonts w:ascii="Times New Roman" w:hAnsi="Times New Roman" w:cs="Times New Roman"/>
          <w:b/>
          <w:bCs/>
          <w:sz w:val="26"/>
          <w:szCs w:val="26"/>
        </w:rPr>
        <w:t>. Hiệu quả sản xuất rau má tại huyện Quảng Điền</w:t>
      </w:r>
    </w:p>
    <w:p w14:paraId="703206B7" w14:textId="3FC96906" w:rsidR="00C23B73" w:rsidRPr="00C546AB" w:rsidRDefault="00C23B73" w:rsidP="00C546AB">
      <w:pPr>
        <w:spacing w:after="0" w:line="240" w:lineRule="auto"/>
        <w:jc w:val="center"/>
        <w:rPr>
          <w:rFonts w:ascii="Times New Roman" w:hAnsi="Times New Roman" w:cs="Times New Roman"/>
          <w:b/>
          <w:bCs/>
          <w:sz w:val="26"/>
          <w:szCs w:val="26"/>
        </w:rPr>
      </w:pPr>
      <w:r w:rsidRPr="00C546AB">
        <w:rPr>
          <w:rFonts w:ascii="Times New Roman" w:hAnsi="Times New Roman" w:cs="Times New Roman"/>
          <w:b/>
          <w:bCs/>
          <w:sz w:val="26"/>
          <w:szCs w:val="26"/>
        </w:rPr>
        <w:t>(Tính bình quân ha)</w:t>
      </w:r>
    </w:p>
    <w:tbl>
      <w:tblPr>
        <w:tblStyle w:val="TableGrid"/>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75"/>
        <w:gridCol w:w="1560"/>
        <w:gridCol w:w="1701"/>
        <w:gridCol w:w="1935"/>
      </w:tblGrid>
      <w:tr w:rsidR="00C23B73" w14:paraId="5754BA17" w14:textId="77777777" w:rsidTr="00EF0264">
        <w:tc>
          <w:tcPr>
            <w:tcW w:w="2830" w:type="dxa"/>
            <w:tcBorders>
              <w:top w:val="single" w:sz="4" w:space="0" w:color="auto"/>
              <w:bottom w:val="single" w:sz="4" w:space="0" w:color="auto"/>
            </w:tcBorders>
          </w:tcPr>
          <w:p w14:paraId="15F4D7C2" w14:textId="19532EE8" w:rsidR="00C23B73" w:rsidRDefault="00C23B73" w:rsidP="00C23B73">
            <w:pPr>
              <w:jc w:val="center"/>
              <w:rPr>
                <w:rFonts w:ascii="Times New Roman" w:hAnsi="Times New Roman" w:cs="Times New Roman"/>
                <w:sz w:val="26"/>
                <w:szCs w:val="26"/>
              </w:rPr>
            </w:pPr>
            <w:r>
              <w:rPr>
                <w:rFonts w:ascii="Times New Roman" w:hAnsi="Times New Roman" w:cs="Times New Roman"/>
                <w:sz w:val="26"/>
                <w:szCs w:val="26"/>
              </w:rPr>
              <w:t>Chỉ tiêu</w:t>
            </w:r>
          </w:p>
        </w:tc>
        <w:tc>
          <w:tcPr>
            <w:tcW w:w="1275" w:type="dxa"/>
            <w:tcBorders>
              <w:top w:val="single" w:sz="4" w:space="0" w:color="auto"/>
              <w:bottom w:val="single" w:sz="4" w:space="0" w:color="auto"/>
            </w:tcBorders>
          </w:tcPr>
          <w:p w14:paraId="6D05FB06" w14:textId="7052D440" w:rsidR="00C23B73" w:rsidRDefault="00C23B73" w:rsidP="00C23B73">
            <w:pPr>
              <w:jc w:val="center"/>
              <w:rPr>
                <w:rFonts w:ascii="Times New Roman" w:hAnsi="Times New Roman" w:cs="Times New Roman"/>
                <w:sz w:val="26"/>
                <w:szCs w:val="26"/>
              </w:rPr>
            </w:pPr>
            <w:r>
              <w:rPr>
                <w:rFonts w:ascii="Times New Roman" w:hAnsi="Times New Roman" w:cs="Times New Roman"/>
                <w:sz w:val="26"/>
                <w:szCs w:val="26"/>
              </w:rPr>
              <w:t>ĐVT</w:t>
            </w:r>
          </w:p>
        </w:tc>
        <w:tc>
          <w:tcPr>
            <w:tcW w:w="1560" w:type="dxa"/>
            <w:tcBorders>
              <w:top w:val="single" w:sz="4" w:space="0" w:color="auto"/>
              <w:bottom w:val="single" w:sz="4" w:space="0" w:color="auto"/>
            </w:tcBorders>
          </w:tcPr>
          <w:p w14:paraId="197C154F" w14:textId="6AF035A0" w:rsidR="00C23B73" w:rsidRDefault="00C23B73" w:rsidP="00C23B73">
            <w:pPr>
              <w:jc w:val="center"/>
              <w:rPr>
                <w:rFonts w:ascii="Times New Roman" w:hAnsi="Times New Roman" w:cs="Times New Roman"/>
                <w:sz w:val="26"/>
                <w:szCs w:val="26"/>
              </w:rPr>
            </w:pPr>
            <w:r>
              <w:rPr>
                <w:rFonts w:ascii="Times New Roman" w:hAnsi="Times New Roman" w:cs="Times New Roman"/>
                <w:sz w:val="26"/>
                <w:szCs w:val="26"/>
              </w:rPr>
              <w:t>Rau má VietGAP</w:t>
            </w:r>
          </w:p>
        </w:tc>
        <w:tc>
          <w:tcPr>
            <w:tcW w:w="1701" w:type="dxa"/>
            <w:tcBorders>
              <w:top w:val="single" w:sz="4" w:space="0" w:color="auto"/>
              <w:bottom w:val="single" w:sz="4" w:space="0" w:color="auto"/>
            </w:tcBorders>
          </w:tcPr>
          <w:p w14:paraId="484A428D" w14:textId="4A8BBAE1" w:rsidR="00C23B73" w:rsidRDefault="00C23B73" w:rsidP="00C23B73">
            <w:pPr>
              <w:jc w:val="center"/>
              <w:rPr>
                <w:rFonts w:ascii="Times New Roman" w:hAnsi="Times New Roman" w:cs="Times New Roman"/>
                <w:sz w:val="26"/>
                <w:szCs w:val="26"/>
              </w:rPr>
            </w:pPr>
            <w:r>
              <w:rPr>
                <w:rFonts w:ascii="Times New Roman" w:hAnsi="Times New Roman" w:cs="Times New Roman"/>
                <w:sz w:val="26"/>
                <w:szCs w:val="26"/>
              </w:rPr>
              <w:t>Rau má thông thường</w:t>
            </w:r>
          </w:p>
        </w:tc>
        <w:tc>
          <w:tcPr>
            <w:tcW w:w="1935" w:type="dxa"/>
            <w:tcBorders>
              <w:top w:val="single" w:sz="4" w:space="0" w:color="auto"/>
              <w:bottom w:val="single" w:sz="4" w:space="0" w:color="auto"/>
            </w:tcBorders>
          </w:tcPr>
          <w:p w14:paraId="63E806AB" w14:textId="7E9A9EBD" w:rsidR="00C23B73" w:rsidRDefault="00C23B73" w:rsidP="00C23B73">
            <w:pPr>
              <w:jc w:val="center"/>
              <w:rPr>
                <w:rFonts w:ascii="Times New Roman" w:hAnsi="Times New Roman" w:cs="Times New Roman"/>
                <w:sz w:val="26"/>
                <w:szCs w:val="26"/>
              </w:rPr>
            </w:pPr>
            <w:r>
              <w:rPr>
                <w:rFonts w:ascii="Times New Roman" w:hAnsi="Times New Roman" w:cs="Times New Roman"/>
                <w:sz w:val="26"/>
                <w:szCs w:val="26"/>
              </w:rPr>
              <w:t>So sánh VietGAP/Thông thường</w:t>
            </w:r>
            <w:r w:rsidR="00D56B5F">
              <w:rPr>
                <w:rFonts w:ascii="Times New Roman" w:hAnsi="Times New Roman" w:cs="Times New Roman"/>
                <w:sz w:val="26"/>
                <w:szCs w:val="26"/>
              </w:rPr>
              <w:t xml:space="preserve"> (%)</w:t>
            </w:r>
          </w:p>
        </w:tc>
      </w:tr>
      <w:tr w:rsidR="00C23B73" w14:paraId="1FFAF4A6" w14:textId="77777777" w:rsidTr="00EF0264">
        <w:tc>
          <w:tcPr>
            <w:tcW w:w="2830" w:type="dxa"/>
            <w:tcBorders>
              <w:top w:val="single" w:sz="4" w:space="0" w:color="auto"/>
            </w:tcBorders>
          </w:tcPr>
          <w:p w14:paraId="6873FABD" w14:textId="79F9D600" w:rsidR="00C23B73" w:rsidRPr="00C23B73" w:rsidRDefault="00C23B73" w:rsidP="00C23B73">
            <w:pPr>
              <w:spacing w:line="360" w:lineRule="auto"/>
              <w:jc w:val="both"/>
              <w:rPr>
                <w:rFonts w:ascii="Times New Roman" w:hAnsi="Times New Roman" w:cs="Times New Roman"/>
                <w:sz w:val="26"/>
                <w:szCs w:val="26"/>
              </w:rPr>
            </w:pPr>
            <w:r>
              <w:rPr>
                <w:rFonts w:ascii="Times New Roman" w:hAnsi="Times New Roman" w:cs="Times New Roman"/>
                <w:sz w:val="26"/>
                <w:szCs w:val="26"/>
              </w:rPr>
              <w:t>1. Năng suất</w:t>
            </w:r>
          </w:p>
        </w:tc>
        <w:tc>
          <w:tcPr>
            <w:tcW w:w="1275" w:type="dxa"/>
            <w:tcBorders>
              <w:top w:val="single" w:sz="4" w:space="0" w:color="auto"/>
            </w:tcBorders>
          </w:tcPr>
          <w:p w14:paraId="44672490" w14:textId="6340058B" w:rsidR="00C23B73" w:rsidRDefault="00156305" w:rsidP="00B2567C">
            <w:pPr>
              <w:spacing w:line="360" w:lineRule="auto"/>
              <w:jc w:val="both"/>
              <w:rPr>
                <w:rFonts w:ascii="Times New Roman" w:hAnsi="Times New Roman" w:cs="Times New Roman"/>
                <w:sz w:val="26"/>
                <w:szCs w:val="26"/>
              </w:rPr>
            </w:pPr>
            <w:r>
              <w:rPr>
                <w:rFonts w:ascii="Times New Roman" w:hAnsi="Times New Roman" w:cs="Times New Roman"/>
                <w:sz w:val="26"/>
                <w:szCs w:val="26"/>
              </w:rPr>
              <w:t>Tấn/ha</w:t>
            </w:r>
          </w:p>
        </w:tc>
        <w:tc>
          <w:tcPr>
            <w:tcW w:w="1560" w:type="dxa"/>
            <w:tcBorders>
              <w:top w:val="single" w:sz="4" w:space="0" w:color="auto"/>
            </w:tcBorders>
          </w:tcPr>
          <w:p w14:paraId="43F28479" w14:textId="3CB1A732" w:rsidR="00C23B73" w:rsidRDefault="00264F68" w:rsidP="00D56B5F">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50,86</w:t>
            </w:r>
          </w:p>
        </w:tc>
        <w:tc>
          <w:tcPr>
            <w:tcW w:w="1701" w:type="dxa"/>
            <w:tcBorders>
              <w:top w:val="single" w:sz="4" w:space="0" w:color="auto"/>
            </w:tcBorders>
          </w:tcPr>
          <w:p w14:paraId="49D0FFD5" w14:textId="052B2849" w:rsidR="00C23B73" w:rsidRDefault="00264F68" w:rsidP="00D56B5F">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52,92</w:t>
            </w:r>
          </w:p>
        </w:tc>
        <w:tc>
          <w:tcPr>
            <w:tcW w:w="1935" w:type="dxa"/>
            <w:tcBorders>
              <w:top w:val="single" w:sz="4" w:space="0" w:color="auto"/>
            </w:tcBorders>
          </w:tcPr>
          <w:p w14:paraId="71F35B1A" w14:textId="0C06CA6A" w:rsidR="00C23B73" w:rsidRDefault="00264F68" w:rsidP="00D56B5F">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96,11</w:t>
            </w:r>
          </w:p>
        </w:tc>
      </w:tr>
      <w:tr w:rsidR="00C546AB" w14:paraId="519F19A9" w14:textId="77777777" w:rsidTr="00EF0264">
        <w:tc>
          <w:tcPr>
            <w:tcW w:w="2830" w:type="dxa"/>
          </w:tcPr>
          <w:p w14:paraId="7988560C" w14:textId="1F3801C8" w:rsidR="00C546AB" w:rsidRDefault="00C546AB" w:rsidP="00C546AB">
            <w:pPr>
              <w:spacing w:line="360" w:lineRule="auto"/>
              <w:jc w:val="both"/>
              <w:rPr>
                <w:rFonts w:ascii="Times New Roman" w:hAnsi="Times New Roman" w:cs="Times New Roman"/>
                <w:sz w:val="26"/>
                <w:szCs w:val="26"/>
              </w:rPr>
            </w:pPr>
            <w:r>
              <w:rPr>
                <w:rFonts w:ascii="Times New Roman" w:hAnsi="Times New Roman" w:cs="Times New Roman"/>
                <w:sz w:val="26"/>
                <w:szCs w:val="26"/>
              </w:rPr>
              <w:t>2. Giá trị sản xuất</w:t>
            </w:r>
          </w:p>
        </w:tc>
        <w:tc>
          <w:tcPr>
            <w:tcW w:w="1275" w:type="dxa"/>
          </w:tcPr>
          <w:p w14:paraId="7E5A1114" w14:textId="7764844E" w:rsidR="00C546AB" w:rsidRDefault="00C546AB" w:rsidP="00C546AB">
            <w:pPr>
              <w:spacing w:line="360" w:lineRule="auto"/>
              <w:jc w:val="both"/>
              <w:rPr>
                <w:rFonts w:ascii="Times New Roman" w:hAnsi="Times New Roman" w:cs="Times New Roman"/>
                <w:sz w:val="26"/>
                <w:szCs w:val="26"/>
              </w:rPr>
            </w:pPr>
            <w:r>
              <w:rPr>
                <w:rFonts w:ascii="Times New Roman" w:hAnsi="Times New Roman" w:cs="Times New Roman"/>
                <w:sz w:val="26"/>
                <w:szCs w:val="26"/>
              </w:rPr>
              <w:t>Tr. đồng</w:t>
            </w:r>
          </w:p>
        </w:tc>
        <w:tc>
          <w:tcPr>
            <w:tcW w:w="1560" w:type="dxa"/>
          </w:tcPr>
          <w:p w14:paraId="604E1CE2" w14:textId="2CC31B17" w:rsidR="00C546AB" w:rsidRDefault="00264F68" w:rsidP="00C546AB">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320,42</w:t>
            </w:r>
          </w:p>
        </w:tc>
        <w:tc>
          <w:tcPr>
            <w:tcW w:w="1701" w:type="dxa"/>
          </w:tcPr>
          <w:p w14:paraId="2FB6E43E" w14:textId="3DDC9AB4" w:rsidR="00C546AB" w:rsidRDefault="00264F68" w:rsidP="00C546AB">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317,52</w:t>
            </w:r>
          </w:p>
        </w:tc>
        <w:tc>
          <w:tcPr>
            <w:tcW w:w="1935" w:type="dxa"/>
          </w:tcPr>
          <w:p w14:paraId="165EE5B5" w14:textId="7269ECB7" w:rsidR="00C546AB" w:rsidRDefault="00264F68" w:rsidP="00C546AB">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100,91</w:t>
            </w:r>
          </w:p>
        </w:tc>
      </w:tr>
      <w:tr w:rsidR="00C546AB" w14:paraId="0FA00E2F" w14:textId="77777777" w:rsidTr="00EF0264">
        <w:tc>
          <w:tcPr>
            <w:tcW w:w="2830" w:type="dxa"/>
          </w:tcPr>
          <w:p w14:paraId="5FA8381E" w14:textId="32711A62" w:rsidR="00C546AB" w:rsidRDefault="00C546AB" w:rsidP="00C546AB">
            <w:pPr>
              <w:spacing w:line="360" w:lineRule="auto"/>
              <w:jc w:val="both"/>
              <w:rPr>
                <w:rFonts w:ascii="Times New Roman" w:hAnsi="Times New Roman" w:cs="Times New Roman"/>
                <w:sz w:val="26"/>
                <w:szCs w:val="26"/>
              </w:rPr>
            </w:pPr>
            <w:r>
              <w:rPr>
                <w:rFonts w:ascii="Times New Roman" w:hAnsi="Times New Roman" w:cs="Times New Roman"/>
                <w:sz w:val="26"/>
                <w:szCs w:val="26"/>
              </w:rPr>
              <w:t>3. Tổng chi phí</w:t>
            </w:r>
          </w:p>
        </w:tc>
        <w:tc>
          <w:tcPr>
            <w:tcW w:w="1275" w:type="dxa"/>
          </w:tcPr>
          <w:p w14:paraId="537DBAED" w14:textId="6634AF2D" w:rsidR="00C546AB" w:rsidRDefault="00C546AB" w:rsidP="00C546AB">
            <w:pPr>
              <w:spacing w:line="360" w:lineRule="auto"/>
              <w:jc w:val="both"/>
              <w:rPr>
                <w:rFonts w:ascii="Times New Roman" w:hAnsi="Times New Roman" w:cs="Times New Roman"/>
                <w:sz w:val="26"/>
                <w:szCs w:val="26"/>
              </w:rPr>
            </w:pPr>
            <w:r>
              <w:rPr>
                <w:rFonts w:ascii="Times New Roman" w:hAnsi="Times New Roman" w:cs="Times New Roman"/>
                <w:sz w:val="26"/>
                <w:szCs w:val="26"/>
              </w:rPr>
              <w:t>Tr. đồng</w:t>
            </w:r>
          </w:p>
        </w:tc>
        <w:tc>
          <w:tcPr>
            <w:tcW w:w="1560" w:type="dxa"/>
          </w:tcPr>
          <w:p w14:paraId="197902BF" w14:textId="04588201" w:rsidR="00C546AB" w:rsidRDefault="00264F68" w:rsidP="00C546AB">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148,52</w:t>
            </w:r>
          </w:p>
        </w:tc>
        <w:tc>
          <w:tcPr>
            <w:tcW w:w="1701" w:type="dxa"/>
          </w:tcPr>
          <w:p w14:paraId="526B1B66" w14:textId="515EA9C0" w:rsidR="00C546AB" w:rsidRDefault="00264F68" w:rsidP="00C546AB">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150,14</w:t>
            </w:r>
          </w:p>
        </w:tc>
        <w:tc>
          <w:tcPr>
            <w:tcW w:w="1935" w:type="dxa"/>
          </w:tcPr>
          <w:p w14:paraId="7206F2DD" w14:textId="18C27066" w:rsidR="00C546AB" w:rsidRDefault="00264F68" w:rsidP="00C546AB">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98,92</w:t>
            </w:r>
          </w:p>
        </w:tc>
      </w:tr>
      <w:tr w:rsidR="00264F68" w14:paraId="6A2CF6B5" w14:textId="77777777" w:rsidTr="00EF0264">
        <w:tc>
          <w:tcPr>
            <w:tcW w:w="2830" w:type="dxa"/>
          </w:tcPr>
          <w:p w14:paraId="398139EB" w14:textId="1703E3B0"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 Chi phí bằng tiền</w:t>
            </w:r>
          </w:p>
        </w:tc>
        <w:tc>
          <w:tcPr>
            <w:tcW w:w="1275" w:type="dxa"/>
          </w:tcPr>
          <w:p w14:paraId="2D97BC3F" w14:textId="14377446"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Tr. đồng</w:t>
            </w:r>
          </w:p>
        </w:tc>
        <w:tc>
          <w:tcPr>
            <w:tcW w:w="1560" w:type="dxa"/>
          </w:tcPr>
          <w:p w14:paraId="311D887E" w14:textId="2E4B070A"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93,32</w:t>
            </w:r>
          </w:p>
        </w:tc>
        <w:tc>
          <w:tcPr>
            <w:tcW w:w="1701" w:type="dxa"/>
          </w:tcPr>
          <w:p w14:paraId="550A07D0" w14:textId="55641E1D"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98,64</w:t>
            </w:r>
          </w:p>
        </w:tc>
        <w:tc>
          <w:tcPr>
            <w:tcW w:w="1935" w:type="dxa"/>
          </w:tcPr>
          <w:p w14:paraId="7CDA9FAF" w14:textId="4EABF0E8"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94,61</w:t>
            </w:r>
          </w:p>
        </w:tc>
      </w:tr>
      <w:tr w:rsidR="00264F68" w14:paraId="1126047F" w14:textId="77777777" w:rsidTr="00EF0264">
        <w:tc>
          <w:tcPr>
            <w:tcW w:w="2830" w:type="dxa"/>
          </w:tcPr>
          <w:p w14:paraId="1FF15D3F" w14:textId="12DDC087" w:rsidR="00264F68" w:rsidRP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64F68">
              <w:rPr>
                <w:rFonts w:ascii="Times New Roman" w:hAnsi="Times New Roman" w:cs="Times New Roman"/>
                <w:sz w:val="26"/>
                <w:szCs w:val="26"/>
              </w:rPr>
              <w:t>Chi phí tự có</w:t>
            </w:r>
          </w:p>
        </w:tc>
        <w:tc>
          <w:tcPr>
            <w:tcW w:w="1275" w:type="dxa"/>
          </w:tcPr>
          <w:p w14:paraId="0992EA4B" w14:textId="2E745582"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Tr. đồng</w:t>
            </w:r>
          </w:p>
        </w:tc>
        <w:tc>
          <w:tcPr>
            <w:tcW w:w="1560" w:type="dxa"/>
          </w:tcPr>
          <w:p w14:paraId="6432FFC2" w14:textId="524D1E0B"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55,20</w:t>
            </w:r>
          </w:p>
        </w:tc>
        <w:tc>
          <w:tcPr>
            <w:tcW w:w="1701" w:type="dxa"/>
          </w:tcPr>
          <w:p w14:paraId="138A9E61" w14:textId="522F446F"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51,50</w:t>
            </w:r>
          </w:p>
        </w:tc>
        <w:tc>
          <w:tcPr>
            <w:tcW w:w="1935" w:type="dxa"/>
          </w:tcPr>
          <w:p w14:paraId="47EAAE1A" w14:textId="30BA8B3D"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107,18</w:t>
            </w:r>
          </w:p>
        </w:tc>
      </w:tr>
      <w:tr w:rsidR="00264F68" w14:paraId="13DA313B" w14:textId="77777777" w:rsidTr="00EF0264">
        <w:tc>
          <w:tcPr>
            <w:tcW w:w="2830" w:type="dxa"/>
          </w:tcPr>
          <w:p w14:paraId="43A835BD" w14:textId="5F0B5E5C"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4. Thu nhập hỗn hợp</w:t>
            </w:r>
          </w:p>
        </w:tc>
        <w:tc>
          <w:tcPr>
            <w:tcW w:w="1275" w:type="dxa"/>
          </w:tcPr>
          <w:p w14:paraId="27227B23" w14:textId="24AEFCF6"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Tr. đồng</w:t>
            </w:r>
          </w:p>
        </w:tc>
        <w:tc>
          <w:tcPr>
            <w:tcW w:w="1560" w:type="dxa"/>
          </w:tcPr>
          <w:p w14:paraId="70DAC1A2" w14:textId="2FB8D138"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227,10</w:t>
            </w:r>
          </w:p>
        </w:tc>
        <w:tc>
          <w:tcPr>
            <w:tcW w:w="1701" w:type="dxa"/>
          </w:tcPr>
          <w:p w14:paraId="13434E7A" w14:textId="7E383854"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218,88</w:t>
            </w:r>
          </w:p>
        </w:tc>
        <w:tc>
          <w:tcPr>
            <w:tcW w:w="1935" w:type="dxa"/>
          </w:tcPr>
          <w:p w14:paraId="18266415" w14:textId="275ED53C"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103,75</w:t>
            </w:r>
          </w:p>
        </w:tc>
      </w:tr>
      <w:tr w:rsidR="00264F68" w14:paraId="6F8C8EEF" w14:textId="77777777" w:rsidTr="00EF0264">
        <w:tc>
          <w:tcPr>
            <w:tcW w:w="2830" w:type="dxa"/>
          </w:tcPr>
          <w:p w14:paraId="43483C3D" w14:textId="1339A81D"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Lợi nhuận </w:t>
            </w:r>
          </w:p>
        </w:tc>
        <w:tc>
          <w:tcPr>
            <w:tcW w:w="1275" w:type="dxa"/>
          </w:tcPr>
          <w:p w14:paraId="453BDB4F" w14:textId="588BD380"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Tr. đồng</w:t>
            </w:r>
          </w:p>
        </w:tc>
        <w:tc>
          <w:tcPr>
            <w:tcW w:w="1560" w:type="dxa"/>
          </w:tcPr>
          <w:p w14:paraId="245935CD" w14:textId="3CDF8E89"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171,90</w:t>
            </w:r>
          </w:p>
        </w:tc>
        <w:tc>
          <w:tcPr>
            <w:tcW w:w="1701" w:type="dxa"/>
          </w:tcPr>
          <w:p w14:paraId="0D71B39F" w14:textId="5C9B408B"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167,38</w:t>
            </w:r>
          </w:p>
        </w:tc>
        <w:tc>
          <w:tcPr>
            <w:tcW w:w="1935" w:type="dxa"/>
          </w:tcPr>
          <w:p w14:paraId="5E048C70" w14:textId="125F76F1"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102,70</w:t>
            </w:r>
          </w:p>
        </w:tc>
      </w:tr>
      <w:tr w:rsidR="00264F68" w14:paraId="31F29BC3" w14:textId="77777777" w:rsidTr="00EF0264">
        <w:tc>
          <w:tcPr>
            <w:tcW w:w="2830" w:type="dxa"/>
            <w:tcBorders>
              <w:bottom w:val="single" w:sz="4" w:space="0" w:color="auto"/>
            </w:tcBorders>
          </w:tcPr>
          <w:p w14:paraId="12E3196D" w14:textId="77BB5B1F"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6. Lợi nhuận/chi phí</w:t>
            </w:r>
          </w:p>
        </w:tc>
        <w:tc>
          <w:tcPr>
            <w:tcW w:w="1275" w:type="dxa"/>
            <w:tcBorders>
              <w:bottom w:val="single" w:sz="4" w:space="0" w:color="auto"/>
            </w:tcBorders>
          </w:tcPr>
          <w:p w14:paraId="2D5329EA" w14:textId="3E49F741" w:rsidR="00264F68" w:rsidRDefault="00264F68" w:rsidP="00264F68">
            <w:pPr>
              <w:spacing w:line="360" w:lineRule="auto"/>
              <w:jc w:val="both"/>
              <w:rPr>
                <w:rFonts w:ascii="Times New Roman" w:hAnsi="Times New Roman" w:cs="Times New Roman"/>
                <w:sz w:val="26"/>
                <w:szCs w:val="26"/>
              </w:rPr>
            </w:pPr>
            <w:r>
              <w:rPr>
                <w:rFonts w:ascii="Times New Roman" w:hAnsi="Times New Roman" w:cs="Times New Roman"/>
                <w:sz w:val="26"/>
                <w:szCs w:val="26"/>
              </w:rPr>
              <w:t>Lần</w:t>
            </w:r>
          </w:p>
        </w:tc>
        <w:tc>
          <w:tcPr>
            <w:tcW w:w="1560" w:type="dxa"/>
            <w:tcBorders>
              <w:bottom w:val="single" w:sz="4" w:space="0" w:color="auto"/>
            </w:tcBorders>
          </w:tcPr>
          <w:p w14:paraId="6A7BD324" w14:textId="79641FE5"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1,16</w:t>
            </w:r>
          </w:p>
        </w:tc>
        <w:tc>
          <w:tcPr>
            <w:tcW w:w="1701" w:type="dxa"/>
            <w:tcBorders>
              <w:bottom w:val="single" w:sz="4" w:space="0" w:color="auto"/>
            </w:tcBorders>
          </w:tcPr>
          <w:p w14:paraId="2B6003D1" w14:textId="76A6460A"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1,11</w:t>
            </w:r>
          </w:p>
        </w:tc>
        <w:tc>
          <w:tcPr>
            <w:tcW w:w="1935" w:type="dxa"/>
            <w:tcBorders>
              <w:bottom w:val="single" w:sz="4" w:space="0" w:color="auto"/>
            </w:tcBorders>
          </w:tcPr>
          <w:p w14:paraId="1D7F2672" w14:textId="5732D793" w:rsidR="00264F68" w:rsidRDefault="00264F68" w:rsidP="00264F68">
            <w:pPr>
              <w:spacing w:line="360" w:lineRule="auto"/>
              <w:ind w:right="173"/>
              <w:jc w:val="right"/>
              <w:rPr>
                <w:rFonts w:ascii="Times New Roman" w:hAnsi="Times New Roman" w:cs="Times New Roman"/>
                <w:sz w:val="26"/>
                <w:szCs w:val="26"/>
              </w:rPr>
            </w:pPr>
            <w:r>
              <w:rPr>
                <w:rFonts w:ascii="Times New Roman" w:hAnsi="Times New Roman" w:cs="Times New Roman"/>
                <w:sz w:val="26"/>
                <w:szCs w:val="26"/>
              </w:rPr>
              <w:t>103,82</w:t>
            </w:r>
          </w:p>
        </w:tc>
      </w:tr>
    </w:tbl>
    <w:p w14:paraId="2DE6A063" w14:textId="77777777" w:rsidR="00C546AB" w:rsidRPr="00C16982" w:rsidRDefault="00C546AB" w:rsidP="00C546AB">
      <w:pPr>
        <w:pStyle w:val="BodyText"/>
        <w:spacing w:line="360" w:lineRule="auto"/>
        <w:ind w:right="4" w:firstLine="709"/>
        <w:jc w:val="right"/>
        <w:rPr>
          <w:i/>
          <w:iCs/>
        </w:rPr>
      </w:pPr>
      <w:r w:rsidRPr="00C16982">
        <w:rPr>
          <w:i/>
          <w:iCs/>
        </w:rPr>
        <w:t>(Nguồn: Số liệu khảo sát hộ sản xuất rau má năm 2019)</w:t>
      </w:r>
    </w:p>
    <w:p w14:paraId="7D20D998" w14:textId="5B246DFD" w:rsidR="009F787A" w:rsidRDefault="007443F3" w:rsidP="00E3772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F406C0">
        <w:rPr>
          <w:rFonts w:ascii="Times New Roman" w:hAnsi="Times New Roman" w:cs="Times New Roman"/>
          <w:sz w:val="26"/>
          <w:szCs w:val="26"/>
        </w:rPr>
        <w:t>S</w:t>
      </w:r>
      <w:r>
        <w:rPr>
          <w:rFonts w:ascii="Times New Roman" w:hAnsi="Times New Roman" w:cs="Times New Roman"/>
          <w:sz w:val="26"/>
          <w:szCs w:val="26"/>
        </w:rPr>
        <w:t xml:space="preserve">ố liệu Bảng 3 cho thấy, </w:t>
      </w:r>
      <w:r w:rsidR="00175702">
        <w:rPr>
          <w:rFonts w:ascii="Times New Roman" w:hAnsi="Times New Roman" w:cs="Times New Roman"/>
          <w:sz w:val="26"/>
          <w:szCs w:val="26"/>
        </w:rPr>
        <w:t xml:space="preserve">so với rau má </w:t>
      </w:r>
      <w:r w:rsidR="002F3F54">
        <w:rPr>
          <w:rFonts w:ascii="Times New Roman" w:hAnsi="Times New Roman" w:cs="Times New Roman"/>
          <w:sz w:val="26"/>
          <w:szCs w:val="26"/>
        </w:rPr>
        <w:t>truyền thống</w:t>
      </w:r>
      <w:r w:rsidR="00175702">
        <w:rPr>
          <w:rFonts w:ascii="Times New Roman" w:hAnsi="Times New Roman" w:cs="Times New Roman"/>
          <w:sz w:val="26"/>
          <w:szCs w:val="26"/>
        </w:rPr>
        <w:t xml:space="preserve">, </w:t>
      </w:r>
      <w:r w:rsidR="0076211D">
        <w:rPr>
          <w:rFonts w:ascii="Times New Roman" w:hAnsi="Times New Roman" w:cs="Times New Roman"/>
          <w:sz w:val="26"/>
          <w:szCs w:val="26"/>
        </w:rPr>
        <w:t>n</w:t>
      </w:r>
      <w:r w:rsidR="00937D48">
        <w:rPr>
          <w:rFonts w:ascii="Times New Roman" w:hAnsi="Times New Roman" w:cs="Times New Roman"/>
          <w:sz w:val="26"/>
          <w:szCs w:val="26"/>
        </w:rPr>
        <w:t>ăm 291</w:t>
      </w:r>
      <w:r w:rsidR="0076211D">
        <w:rPr>
          <w:rFonts w:ascii="Times New Roman" w:hAnsi="Times New Roman" w:cs="Times New Roman"/>
          <w:sz w:val="26"/>
          <w:szCs w:val="26"/>
        </w:rPr>
        <w:t>9</w:t>
      </w:r>
      <w:r w:rsidR="00937D48">
        <w:rPr>
          <w:rFonts w:ascii="Times New Roman" w:hAnsi="Times New Roman" w:cs="Times New Roman"/>
          <w:sz w:val="26"/>
          <w:szCs w:val="26"/>
        </w:rPr>
        <w:t xml:space="preserve">, </w:t>
      </w:r>
      <w:r w:rsidR="00175702">
        <w:rPr>
          <w:rFonts w:ascii="Times New Roman" w:hAnsi="Times New Roman" w:cs="Times New Roman"/>
          <w:sz w:val="26"/>
          <w:szCs w:val="26"/>
        </w:rPr>
        <w:t xml:space="preserve">năng suất </w:t>
      </w:r>
      <w:r w:rsidR="00937D48">
        <w:rPr>
          <w:rFonts w:ascii="Times New Roman" w:hAnsi="Times New Roman" w:cs="Times New Roman"/>
          <w:sz w:val="26"/>
          <w:szCs w:val="26"/>
        </w:rPr>
        <w:t xml:space="preserve">trung bình của các hộ sản xuất </w:t>
      </w:r>
      <w:r w:rsidR="00175702">
        <w:rPr>
          <w:rFonts w:ascii="Times New Roman" w:hAnsi="Times New Roman" w:cs="Times New Roman"/>
          <w:sz w:val="26"/>
          <w:szCs w:val="26"/>
        </w:rPr>
        <w:t>rau má VietGAP đạt 50,</w:t>
      </w:r>
      <w:r w:rsidR="0076211D">
        <w:rPr>
          <w:rFonts w:ascii="Times New Roman" w:hAnsi="Times New Roman" w:cs="Times New Roman"/>
          <w:sz w:val="26"/>
          <w:szCs w:val="26"/>
        </w:rPr>
        <w:t>86</w:t>
      </w:r>
      <w:r w:rsidR="00175702">
        <w:rPr>
          <w:rFonts w:ascii="Times New Roman" w:hAnsi="Times New Roman" w:cs="Times New Roman"/>
          <w:sz w:val="26"/>
          <w:szCs w:val="26"/>
        </w:rPr>
        <w:t xml:space="preserve"> tấn/ha </w:t>
      </w:r>
      <w:r w:rsidR="00937D48">
        <w:rPr>
          <w:rFonts w:ascii="Times New Roman" w:hAnsi="Times New Roman" w:cs="Times New Roman"/>
          <w:sz w:val="26"/>
          <w:szCs w:val="26"/>
        </w:rPr>
        <w:t>bằng 96,</w:t>
      </w:r>
      <w:r w:rsidR="0076211D">
        <w:rPr>
          <w:rFonts w:ascii="Times New Roman" w:hAnsi="Times New Roman" w:cs="Times New Roman"/>
          <w:sz w:val="26"/>
          <w:szCs w:val="26"/>
        </w:rPr>
        <w:t>11</w:t>
      </w:r>
      <w:r w:rsidR="00937D48">
        <w:rPr>
          <w:rFonts w:ascii="Times New Roman" w:hAnsi="Times New Roman" w:cs="Times New Roman"/>
          <w:sz w:val="26"/>
          <w:szCs w:val="26"/>
        </w:rPr>
        <w:t>% so với năng suất</w:t>
      </w:r>
      <w:r w:rsidR="00175702">
        <w:rPr>
          <w:rFonts w:ascii="Times New Roman" w:hAnsi="Times New Roman" w:cs="Times New Roman"/>
          <w:sz w:val="26"/>
          <w:szCs w:val="26"/>
        </w:rPr>
        <w:t xml:space="preserve"> rau má sản xuất </w:t>
      </w:r>
      <w:r w:rsidR="002F3F54">
        <w:rPr>
          <w:rFonts w:ascii="Times New Roman" w:hAnsi="Times New Roman" w:cs="Times New Roman"/>
          <w:sz w:val="26"/>
          <w:szCs w:val="26"/>
        </w:rPr>
        <w:t>truyền thống</w:t>
      </w:r>
      <w:r w:rsidR="00175702">
        <w:rPr>
          <w:rFonts w:ascii="Times New Roman" w:hAnsi="Times New Roman" w:cs="Times New Roman"/>
          <w:sz w:val="26"/>
          <w:szCs w:val="26"/>
        </w:rPr>
        <w:t>.</w:t>
      </w:r>
      <w:r w:rsidR="009F787A">
        <w:rPr>
          <w:rFonts w:ascii="Times New Roman" w:hAnsi="Times New Roman" w:cs="Times New Roman"/>
          <w:sz w:val="26"/>
          <w:szCs w:val="26"/>
        </w:rPr>
        <w:t xml:space="preserve"> Tuy nhiên do giá bán </w:t>
      </w:r>
      <w:r w:rsidR="00937D48">
        <w:rPr>
          <w:rFonts w:ascii="Times New Roman" w:hAnsi="Times New Roman" w:cs="Times New Roman"/>
          <w:sz w:val="26"/>
          <w:szCs w:val="26"/>
        </w:rPr>
        <w:t>VietGAP cao hơn (6,</w:t>
      </w:r>
      <w:r w:rsidR="0076211D">
        <w:rPr>
          <w:rFonts w:ascii="Times New Roman" w:hAnsi="Times New Roman" w:cs="Times New Roman"/>
          <w:sz w:val="26"/>
          <w:szCs w:val="26"/>
        </w:rPr>
        <w:t>2</w:t>
      </w:r>
      <w:r w:rsidR="00937D48">
        <w:rPr>
          <w:rFonts w:ascii="Times New Roman" w:hAnsi="Times New Roman" w:cs="Times New Roman"/>
          <w:sz w:val="26"/>
          <w:szCs w:val="26"/>
        </w:rPr>
        <w:t xml:space="preserve"> triệu đồng/tấn</w:t>
      </w:r>
      <w:r w:rsidR="00F406C0">
        <w:rPr>
          <w:rFonts w:ascii="Times New Roman" w:hAnsi="Times New Roman" w:cs="Times New Roman"/>
          <w:sz w:val="26"/>
          <w:szCs w:val="26"/>
        </w:rPr>
        <w:t>,</w:t>
      </w:r>
      <w:r w:rsidR="00937D48">
        <w:rPr>
          <w:rFonts w:ascii="Times New Roman" w:hAnsi="Times New Roman" w:cs="Times New Roman"/>
          <w:sz w:val="26"/>
          <w:szCs w:val="26"/>
        </w:rPr>
        <w:t xml:space="preserve"> </w:t>
      </w:r>
      <w:r w:rsidR="00937D48">
        <w:rPr>
          <w:rFonts w:ascii="Times New Roman" w:hAnsi="Times New Roman" w:cs="Times New Roman"/>
          <w:sz w:val="26"/>
          <w:szCs w:val="26"/>
        </w:rPr>
        <w:lastRenderedPageBreak/>
        <w:t>cao hơn 0,</w:t>
      </w:r>
      <w:r w:rsidR="0076211D">
        <w:rPr>
          <w:rFonts w:ascii="Times New Roman" w:hAnsi="Times New Roman" w:cs="Times New Roman"/>
          <w:sz w:val="26"/>
          <w:szCs w:val="26"/>
        </w:rPr>
        <w:t>2</w:t>
      </w:r>
      <w:r w:rsidR="00937D48">
        <w:rPr>
          <w:rFonts w:ascii="Times New Roman" w:hAnsi="Times New Roman" w:cs="Times New Roman"/>
          <w:sz w:val="26"/>
          <w:szCs w:val="26"/>
        </w:rPr>
        <w:t xml:space="preserve"> triệu/tấn so với rau má </w:t>
      </w:r>
      <w:r w:rsidR="002F3F54">
        <w:rPr>
          <w:rFonts w:ascii="Times New Roman" w:hAnsi="Times New Roman" w:cs="Times New Roman"/>
          <w:sz w:val="26"/>
          <w:szCs w:val="26"/>
        </w:rPr>
        <w:t>truyền thống</w:t>
      </w:r>
      <w:r w:rsidR="00937D48">
        <w:rPr>
          <w:rFonts w:ascii="Times New Roman" w:hAnsi="Times New Roman" w:cs="Times New Roman"/>
          <w:sz w:val="26"/>
          <w:szCs w:val="26"/>
        </w:rPr>
        <w:t xml:space="preserve">) nên giá trị sản xuất thu được </w:t>
      </w:r>
      <w:r w:rsidR="00F406C0">
        <w:rPr>
          <w:rFonts w:ascii="Times New Roman" w:hAnsi="Times New Roman" w:cs="Times New Roman"/>
          <w:sz w:val="26"/>
          <w:szCs w:val="26"/>
        </w:rPr>
        <w:t xml:space="preserve">từ rau má VietGAP </w:t>
      </w:r>
      <w:r w:rsidR="00937D48">
        <w:rPr>
          <w:rFonts w:ascii="Times New Roman" w:hAnsi="Times New Roman" w:cs="Times New Roman"/>
          <w:sz w:val="26"/>
          <w:szCs w:val="26"/>
        </w:rPr>
        <w:t>là 32</w:t>
      </w:r>
      <w:r w:rsidR="0076211D">
        <w:rPr>
          <w:rFonts w:ascii="Times New Roman" w:hAnsi="Times New Roman" w:cs="Times New Roman"/>
          <w:sz w:val="26"/>
          <w:szCs w:val="26"/>
        </w:rPr>
        <w:t>0</w:t>
      </w:r>
      <w:r w:rsidR="00937D48">
        <w:rPr>
          <w:rFonts w:ascii="Times New Roman" w:hAnsi="Times New Roman" w:cs="Times New Roman"/>
          <w:sz w:val="26"/>
          <w:szCs w:val="26"/>
        </w:rPr>
        <w:t>,</w:t>
      </w:r>
      <w:r w:rsidR="0076211D">
        <w:rPr>
          <w:rFonts w:ascii="Times New Roman" w:hAnsi="Times New Roman" w:cs="Times New Roman"/>
          <w:sz w:val="26"/>
          <w:szCs w:val="26"/>
        </w:rPr>
        <w:t>42</w:t>
      </w:r>
      <w:r w:rsidR="00937D48">
        <w:rPr>
          <w:rFonts w:ascii="Times New Roman" w:hAnsi="Times New Roman" w:cs="Times New Roman"/>
          <w:sz w:val="26"/>
          <w:szCs w:val="26"/>
        </w:rPr>
        <w:t xml:space="preserve"> triệu đồng/ha</w:t>
      </w:r>
      <w:r w:rsidR="002F3F54">
        <w:rPr>
          <w:rFonts w:ascii="Times New Roman" w:hAnsi="Times New Roman" w:cs="Times New Roman"/>
          <w:sz w:val="26"/>
          <w:szCs w:val="26"/>
        </w:rPr>
        <w:t xml:space="preserve">, cao hơn </w:t>
      </w:r>
      <w:r w:rsidR="00F406C0">
        <w:rPr>
          <w:rFonts w:ascii="Times New Roman" w:hAnsi="Times New Roman" w:cs="Times New Roman"/>
          <w:sz w:val="26"/>
          <w:szCs w:val="26"/>
        </w:rPr>
        <w:t xml:space="preserve">rau má truyền thống </w:t>
      </w:r>
      <w:r w:rsidR="002F3F54">
        <w:rPr>
          <w:rFonts w:ascii="Times New Roman" w:hAnsi="Times New Roman" w:cs="Times New Roman"/>
          <w:sz w:val="26"/>
          <w:szCs w:val="26"/>
        </w:rPr>
        <w:t>2,9 triệu đồng/ha.</w:t>
      </w:r>
      <w:r w:rsidR="00937D48">
        <w:rPr>
          <w:rFonts w:ascii="Times New Roman" w:hAnsi="Times New Roman" w:cs="Times New Roman"/>
          <w:sz w:val="26"/>
          <w:szCs w:val="26"/>
        </w:rPr>
        <w:t xml:space="preserve"> </w:t>
      </w:r>
    </w:p>
    <w:p w14:paraId="7C6F81C8" w14:textId="301BFC1D" w:rsidR="009F13AB" w:rsidRDefault="00937D48" w:rsidP="00E3772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F66E77">
        <w:rPr>
          <w:rFonts w:ascii="Times New Roman" w:hAnsi="Times New Roman" w:cs="Times New Roman"/>
          <w:i/>
          <w:iCs/>
          <w:sz w:val="26"/>
          <w:szCs w:val="26"/>
        </w:rPr>
        <w:t>Về chi phí sản xuất:</w:t>
      </w:r>
      <w:r>
        <w:rPr>
          <w:rFonts w:ascii="Times New Roman" w:hAnsi="Times New Roman" w:cs="Times New Roman"/>
          <w:sz w:val="26"/>
          <w:szCs w:val="26"/>
        </w:rPr>
        <w:t xml:space="preserve"> Bình quân </w:t>
      </w:r>
      <w:r w:rsidR="00E748E5">
        <w:rPr>
          <w:rFonts w:ascii="Times New Roman" w:hAnsi="Times New Roman" w:cs="Times New Roman"/>
          <w:sz w:val="26"/>
          <w:szCs w:val="26"/>
        </w:rPr>
        <w:t>hộ sản xuất rau má VietGAP</w:t>
      </w:r>
      <w:r>
        <w:rPr>
          <w:rFonts w:ascii="Times New Roman" w:hAnsi="Times New Roman" w:cs="Times New Roman"/>
          <w:sz w:val="26"/>
          <w:szCs w:val="26"/>
        </w:rPr>
        <w:t xml:space="preserve"> đầu tư </w:t>
      </w:r>
      <w:r w:rsidR="002F3F54">
        <w:rPr>
          <w:rFonts w:ascii="Times New Roman" w:hAnsi="Times New Roman" w:cs="Times New Roman"/>
          <w:sz w:val="26"/>
          <w:szCs w:val="26"/>
        </w:rPr>
        <w:t>1</w:t>
      </w:r>
      <w:r w:rsidR="000E286E">
        <w:rPr>
          <w:rFonts w:ascii="Times New Roman" w:hAnsi="Times New Roman" w:cs="Times New Roman"/>
          <w:sz w:val="26"/>
          <w:szCs w:val="26"/>
        </w:rPr>
        <w:t>48</w:t>
      </w:r>
      <w:r w:rsidR="00E748E5">
        <w:rPr>
          <w:rFonts w:ascii="Times New Roman" w:hAnsi="Times New Roman" w:cs="Times New Roman"/>
          <w:sz w:val="26"/>
          <w:szCs w:val="26"/>
        </w:rPr>
        <w:t>,52</w:t>
      </w:r>
      <w:r w:rsidR="000E286E">
        <w:rPr>
          <w:rFonts w:ascii="Times New Roman" w:hAnsi="Times New Roman" w:cs="Times New Roman"/>
          <w:sz w:val="26"/>
          <w:szCs w:val="26"/>
        </w:rPr>
        <w:t xml:space="preserve"> tr</w:t>
      </w:r>
      <w:r w:rsidR="005435EB">
        <w:rPr>
          <w:rFonts w:ascii="Times New Roman" w:hAnsi="Times New Roman" w:cs="Times New Roman"/>
          <w:sz w:val="26"/>
          <w:szCs w:val="26"/>
          <w:lang w:val="vi-VN"/>
        </w:rPr>
        <w:t>iệu đồng/ha</w:t>
      </w:r>
      <w:r w:rsidR="00E748E5">
        <w:rPr>
          <w:rFonts w:ascii="Times New Roman" w:hAnsi="Times New Roman" w:cs="Times New Roman"/>
          <w:sz w:val="26"/>
          <w:szCs w:val="26"/>
        </w:rPr>
        <w:t>, bằng 98,92% chi phí đầu tư sản xuất rau má truyền thống</w:t>
      </w:r>
      <w:r w:rsidR="005435EB">
        <w:rPr>
          <w:rFonts w:ascii="Times New Roman" w:hAnsi="Times New Roman" w:cs="Times New Roman"/>
          <w:sz w:val="26"/>
          <w:szCs w:val="26"/>
          <w:lang w:val="vi-VN"/>
        </w:rPr>
        <w:t xml:space="preserve">. </w:t>
      </w:r>
      <w:r w:rsidR="001D364D">
        <w:rPr>
          <w:rFonts w:ascii="Times New Roman" w:hAnsi="Times New Roman" w:cs="Times New Roman"/>
          <w:sz w:val="26"/>
          <w:szCs w:val="26"/>
        </w:rPr>
        <w:t>Trong tổng chi phí đầu tư sản xuất rau má VietGAP, chi phí bằng tiền là 93,32 triệu đồng/ha chiếm 62,83% (bao gồm</w:t>
      </w:r>
      <w:r w:rsidR="007775F3">
        <w:rPr>
          <w:rFonts w:ascii="Times New Roman" w:hAnsi="Times New Roman" w:cs="Times New Roman"/>
          <w:sz w:val="26"/>
          <w:szCs w:val="26"/>
        </w:rPr>
        <w:t>:</w:t>
      </w:r>
      <w:r w:rsidR="001D364D">
        <w:rPr>
          <w:rFonts w:ascii="Times New Roman" w:hAnsi="Times New Roman" w:cs="Times New Roman"/>
          <w:sz w:val="26"/>
          <w:szCs w:val="26"/>
        </w:rPr>
        <w:t xml:space="preserve"> chi phí phân bón, chi phí thuốc bảo vệ thực vật, chi phí lao động thuê,…), chi phí tự có là 55,2 triệu đồng/ha, chiếm 37,17%, đây chủ yếu là chi phí lao động gia đình bỏ ra. Nếu so sánh chi phí đầu tư giữa hai hình thức, chi phí bằng tiền cho sản xuất rau má VietGAP thấp hơn </w:t>
      </w:r>
      <w:r w:rsidR="00D92F4E">
        <w:rPr>
          <w:rFonts w:ascii="Times New Roman" w:hAnsi="Times New Roman" w:cs="Times New Roman"/>
          <w:sz w:val="26"/>
          <w:szCs w:val="26"/>
        </w:rPr>
        <w:t>5,32 triệu đồng/ha so với sản xuất rau má truyền thống</w:t>
      </w:r>
      <w:r w:rsidR="007775F3">
        <w:rPr>
          <w:rFonts w:ascii="Times New Roman" w:hAnsi="Times New Roman" w:cs="Times New Roman"/>
          <w:sz w:val="26"/>
          <w:szCs w:val="26"/>
        </w:rPr>
        <w:t>. Đó</w:t>
      </w:r>
      <w:r w:rsidR="00D92F4E">
        <w:rPr>
          <w:rFonts w:ascii="Times New Roman" w:hAnsi="Times New Roman" w:cs="Times New Roman"/>
          <w:sz w:val="26"/>
          <w:szCs w:val="26"/>
        </w:rPr>
        <w:t xml:space="preserve"> là do hộ sản xuất trồng theo quy trình VietGAP đã có sẵn quy trình</w:t>
      </w:r>
      <w:r w:rsidR="007775F3">
        <w:rPr>
          <w:rFonts w:ascii="Times New Roman" w:hAnsi="Times New Roman" w:cs="Times New Roman"/>
          <w:sz w:val="26"/>
          <w:szCs w:val="26"/>
        </w:rPr>
        <w:t>.</w:t>
      </w:r>
      <w:r w:rsidR="00D92F4E">
        <w:rPr>
          <w:rFonts w:ascii="Times New Roman" w:hAnsi="Times New Roman" w:cs="Times New Roman"/>
          <w:sz w:val="26"/>
          <w:szCs w:val="26"/>
        </w:rPr>
        <w:t xml:space="preserve"> </w:t>
      </w:r>
      <w:r w:rsidR="007775F3">
        <w:rPr>
          <w:rFonts w:ascii="Times New Roman" w:hAnsi="Times New Roman" w:cs="Times New Roman"/>
          <w:sz w:val="26"/>
          <w:szCs w:val="26"/>
        </w:rPr>
        <w:t>V</w:t>
      </w:r>
      <w:r w:rsidR="007B3516">
        <w:rPr>
          <w:rFonts w:ascii="Times New Roman" w:hAnsi="Times New Roman" w:cs="Times New Roman"/>
          <w:sz w:val="26"/>
          <w:szCs w:val="26"/>
        </w:rPr>
        <w:t xml:space="preserve">iệc </w:t>
      </w:r>
      <w:r w:rsidR="00D92F4E">
        <w:rPr>
          <w:rFonts w:ascii="Times New Roman" w:hAnsi="Times New Roman" w:cs="Times New Roman"/>
          <w:sz w:val="26"/>
          <w:szCs w:val="26"/>
        </w:rPr>
        <w:t xml:space="preserve">bón phân đúng thời gian và </w:t>
      </w:r>
      <w:r w:rsidR="00DB47C0">
        <w:rPr>
          <w:rFonts w:ascii="Times New Roman" w:hAnsi="Times New Roman" w:cs="Times New Roman"/>
          <w:sz w:val="26"/>
          <w:szCs w:val="26"/>
        </w:rPr>
        <w:t>liều</w:t>
      </w:r>
      <w:r w:rsidR="00D92F4E">
        <w:rPr>
          <w:rFonts w:ascii="Times New Roman" w:hAnsi="Times New Roman" w:cs="Times New Roman"/>
          <w:sz w:val="26"/>
          <w:szCs w:val="26"/>
        </w:rPr>
        <w:t xml:space="preserve"> lượng đã phát huy hiệu quả, ngoài ra hộ sản xuất thường bót lót nhiều phân chuồng để cải tạo đất nên đất cũng tốt hơn</w:t>
      </w:r>
      <w:r w:rsidR="00B353BF">
        <w:rPr>
          <w:rFonts w:ascii="Times New Roman" w:hAnsi="Times New Roman" w:cs="Times New Roman"/>
          <w:sz w:val="26"/>
          <w:szCs w:val="26"/>
        </w:rPr>
        <w:t>, việc sử dụng nhiều lao động cho việc chăm sóc cũng hạn chế được tình trạng sâu bệnh và cỏ dại nên chi phí thuốc bảo vệ thực vật cung thấp hơn</w:t>
      </w:r>
      <w:r w:rsidR="00D92F4E">
        <w:rPr>
          <w:rFonts w:ascii="Times New Roman" w:hAnsi="Times New Roman" w:cs="Times New Roman"/>
          <w:sz w:val="26"/>
          <w:szCs w:val="26"/>
        </w:rPr>
        <w:t xml:space="preserve">. </w:t>
      </w:r>
      <w:r w:rsidR="00DB47C0">
        <w:rPr>
          <w:rFonts w:ascii="Times New Roman" w:hAnsi="Times New Roman" w:cs="Times New Roman"/>
          <w:sz w:val="26"/>
          <w:szCs w:val="26"/>
        </w:rPr>
        <w:t>Đối với sản xuất rau má VietGAP</w:t>
      </w:r>
      <w:r w:rsidR="007775F3">
        <w:rPr>
          <w:rFonts w:ascii="Times New Roman" w:hAnsi="Times New Roman" w:cs="Times New Roman"/>
          <w:sz w:val="26"/>
          <w:szCs w:val="26"/>
        </w:rPr>
        <w:t>,</w:t>
      </w:r>
      <w:r w:rsidR="00DB47C0">
        <w:rPr>
          <w:rFonts w:ascii="Times New Roman" w:hAnsi="Times New Roman" w:cs="Times New Roman"/>
          <w:sz w:val="26"/>
          <w:szCs w:val="26"/>
        </w:rPr>
        <w:t xml:space="preserve"> hộ sản xuất cần nhiều công lao động cho việc chăm sóc và nhổ cỏ nên chi phí lao động cũng cao hơn, trung bình </w:t>
      </w:r>
      <w:r w:rsidR="001F732A">
        <w:rPr>
          <w:rFonts w:ascii="Times New Roman" w:hAnsi="Times New Roman" w:cs="Times New Roman"/>
          <w:sz w:val="26"/>
          <w:szCs w:val="26"/>
        </w:rPr>
        <w:t xml:space="preserve">chi phí lao động cao hơn 3,5 – 4 triệu so với trồng rau má truyền thống. </w:t>
      </w:r>
    </w:p>
    <w:p w14:paraId="19C04226" w14:textId="230B6C30" w:rsidR="00F66E77" w:rsidRPr="00F66E77" w:rsidRDefault="00F66E77" w:rsidP="00F66E77">
      <w:pPr>
        <w:spacing w:after="0" w:line="360" w:lineRule="auto"/>
        <w:ind w:firstLine="720"/>
        <w:jc w:val="both"/>
        <w:rPr>
          <w:rFonts w:ascii="Times New Roman" w:hAnsi="Times New Roman" w:cs="Times New Roman"/>
          <w:sz w:val="26"/>
          <w:szCs w:val="26"/>
        </w:rPr>
      </w:pPr>
      <w:r w:rsidRPr="00F66E77">
        <w:rPr>
          <w:rFonts w:ascii="Times New Roman" w:hAnsi="Times New Roman" w:cs="Times New Roman"/>
          <w:i/>
          <w:iCs/>
          <w:sz w:val="26"/>
          <w:szCs w:val="26"/>
        </w:rPr>
        <w:t xml:space="preserve">Về thu nhập và lợi nhuận: </w:t>
      </w:r>
      <w:r w:rsidR="000D0420">
        <w:rPr>
          <w:rFonts w:ascii="Times New Roman" w:hAnsi="Times New Roman" w:cs="Times New Roman"/>
          <w:sz w:val="26"/>
          <w:szCs w:val="26"/>
        </w:rPr>
        <w:t>trung bình mỗi năm</w:t>
      </w:r>
      <w:r w:rsidR="007775F3">
        <w:rPr>
          <w:rFonts w:ascii="Times New Roman" w:hAnsi="Times New Roman" w:cs="Times New Roman"/>
          <w:sz w:val="26"/>
          <w:szCs w:val="26"/>
        </w:rPr>
        <w:t>,</w:t>
      </w:r>
      <w:r w:rsidR="000D0420">
        <w:rPr>
          <w:rFonts w:ascii="Times New Roman" w:hAnsi="Times New Roman" w:cs="Times New Roman"/>
          <w:sz w:val="26"/>
          <w:szCs w:val="26"/>
        </w:rPr>
        <w:t xml:space="preserve"> hộ sản xuất rau má VietGAP </w:t>
      </w:r>
      <w:r w:rsidR="007775F3">
        <w:rPr>
          <w:rFonts w:ascii="Times New Roman" w:hAnsi="Times New Roman" w:cs="Times New Roman"/>
          <w:sz w:val="26"/>
          <w:szCs w:val="26"/>
        </w:rPr>
        <w:t>có</w:t>
      </w:r>
      <w:r w:rsidR="000D0420">
        <w:rPr>
          <w:rFonts w:ascii="Times New Roman" w:hAnsi="Times New Roman" w:cs="Times New Roman"/>
          <w:sz w:val="26"/>
          <w:szCs w:val="26"/>
        </w:rPr>
        <w:t xml:space="preserve"> </w:t>
      </w:r>
      <w:r w:rsidR="003E3AF9">
        <w:rPr>
          <w:rFonts w:ascii="Times New Roman" w:hAnsi="Times New Roman" w:cs="Times New Roman"/>
          <w:sz w:val="26"/>
          <w:szCs w:val="26"/>
        </w:rPr>
        <w:t xml:space="preserve">mức thu nhập là </w:t>
      </w:r>
      <w:r w:rsidR="000D0420">
        <w:rPr>
          <w:rFonts w:ascii="Times New Roman" w:hAnsi="Times New Roman" w:cs="Times New Roman"/>
          <w:sz w:val="26"/>
          <w:szCs w:val="26"/>
        </w:rPr>
        <w:t xml:space="preserve">227,1 triệu đồng/ha và </w:t>
      </w:r>
      <w:r w:rsidR="003E3AF9">
        <w:rPr>
          <w:rFonts w:ascii="Times New Roman" w:hAnsi="Times New Roman" w:cs="Times New Roman"/>
          <w:sz w:val="26"/>
          <w:szCs w:val="26"/>
        </w:rPr>
        <w:t xml:space="preserve">lợi nhuận là </w:t>
      </w:r>
      <w:r w:rsidR="000D0420">
        <w:rPr>
          <w:rFonts w:ascii="Times New Roman" w:hAnsi="Times New Roman" w:cs="Times New Roman"/>
          <w:sz w:val="26"/>
          <w:szCs w:val="26"/>
        </w:rPr>
        <w:t>171,9 triệu đồng/ha. Mức thu nhập và lợi nhuật đạt được hàng năm cao hơn so với sản xuất rau má truyền thống</w:t>
      </w:r>
      <w:r w:rsidR="00B459E6">
        <w:rPr>
          <w:rFonts w:ascii="Times New Roman" w:hAnsi="Times New Roman" w:cs="Times New Roman"/>
          <w:sz w:val="26"/>
          <w:szCs w:val="26"/>
        </w:rPr>
        <w:t>,</w:t>
      </w:r>
      <w:r w:rsidR="000D0420">
        <w:rPr>
          <w:rFonts w:ascii="Times New Roman" w:hAnsi="Times New Roman" w:cs="Times New Roman"/>
          <w:sz w:val="26"/>
          <w:szCs w:val="26"/>
        </w:rPr>
        <w:t xml:space="preserve"> cũng như các cây trồng khác tại địa phương. </w:t>
      </w:r>
    </w:p>
    <w:p w14:paraId="095584A3" w14:textId="52E82D3A" w:rsidR="00E3772B" w:rsidRPr="007E4E87" w:rsidRDefault="00D56B5F" w:rsidP="00E3772B">
      <w:pPr>
        <w:spacing w:after="0" w:line="360" w:lineRule="auto"/>
        <w:jc w:val="both"/>
        <w:rPr>
          <w:rFonts w:ascii="Times New Roman" w:hAnsi="Times New Roman" w:cs="Times New Roman"/>
          <w:b/>
          <w:bCs/>
          <w:spacing w:val="-8"/>
          <w:sz w:val="26"/>
          <w:szCs w:val="26"/>
          <w:lang w:val="vi-VN"/>
        </w:rPr>
      </w:pPr>
      <w:r w:rsidRPr="007E4E87">
        <w:rPr>
          <w:rFonts w:ascii="Times New Roman" w:hAnsi="Times New Roman" w:cs="Times New Roman"/>
          <w:b/>
          <w:bCs/>
          <w:spacing w:val="-8"/>
          <w:sz w:val="26"/>
          <w:szCs w:val="26"/>
        </w:rPr>
        <w:t xml:space="preserve">NHỮNG </w:t>
      </w:r>
      <w:r w:rsidR="00E3772B" w:rsidRPr="007E4E87">
        <w:rPr>
          <w:rFonts w:ascii="Times New Roman" w:hAnsi="Times New Roman" w:cs="Times New Roman"/>
          <w:b/>
          <w:bCs/>
          <w:spacing w:val="-8"/>
          <w:sz w:val="26"/>
          <w:szCs w:val="26"/>
        </w:rPr>
        <w:t xml:space="preserve">VẤN ĐỀ </w:t>
      </w:r>
      <w:r w:rsidRPr="007E4E87">
        <w:rPr>
          <w:rFonts w:ascii="Times New Roman" w:hAnsi="Times New Roman" w:cs="Times New Roman"/>
          <w:b/>
          <w:bCs/>
          <w:spacing w:val="-8"/>
          <w:sz w:val="26"/>
          <w:szCs w:val="26"/>
        </w:rPr>
        <w:t>THÁCH THỨC ĐẶT RA</w:t>
      </w:r>
      <w:r w:rsidR="007E4E87" w:rsidRPr="007E4E87">
        <w:rPr>
          <w:rFonts w:ascii="Times New Roman" w:hAnsi="Times New Roman" w:cs="Times New Roman"/>
          <w:b/>
          <w:bCs/>
          <w:spacing w:val="-8"/>
          <w:sz w:val="26"/>
          <w:szCs w:val="26"/>
          <w:lang w:val="vi-VN"/>
        </w:rPr>
        <w:t xml:space="preserve"> CHO SẢN XUẤT RAU MÁ VIETGAP</w:t>
      </w:r>
    </w:p>
    <w:p w14:paraId="6240AF81" w14:textId="74B50FAB" w:rsidR="000F4758" w:rsidRDefault="004854B1" w:rsidP="00B459E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B459E6" w:rsidRPr="00B459E6">
        <w:rPr>
          <w:rFonts w:ascii="Times New Roman" w:hAnsi="Times New Roman" w:cs="Times New Roman"/>
          <w:b/>
          <w:bCs/>
          <w:i/>
          <w:iCs/>
          <w:sz w:val="26"/>
          <w:szCs w:val="26"/>
        </w:rPr>
        <w:t>Thứ nhất,</w:t>
      </w:r>
      <w:r w:rsidR="000F4758">
        <w:rPr>
          <w:rFonts w:ascii="Times New Roman" w:hAnsi="Times New Roman" w:cs="Times New Roman"/>
          <w:sz w:val="26"/>
          <w:szCs w:val="26"/>
        </w:rPr>
        <w:t xml:space="preserve"> </w:t>
      </w:r>
      <w:r w:rsidR="00B459E6">
        <w:rPr>
          <w:rFonts w:ascii="Times New Roman" w:hAnsi="Times New Roman" w:cs="Times New Roman"/>
          <w:sz w:val="26"/>
          <w:szCs w:val="26"/>
        </w:rPr>
        <w:t>m</w:t>
      </w:r>
      <w:r w:rsidR="000F4758">
        <w:rPr>
          <w:rFonts w:ascii="Times New Roman" w:hAnsi="Times New Roman" w:cs="Times New Roman"/>
          <w:sz w:val="26"/>
          <w:szCs w:val="26"/>
        </w:rPr>
        <w:t xml:space="preserve">ặc dù đã được tập huấn, </w:t>
      </w:r>
      <w:r w:rsidR="008C14D0">
        <w:rPr>
          <w:rFonts w:ascii="Times New Roman" w:hAnsi="Times New Roman" w:cs="Times New Roman"/>
          <w:sz w:val="26"/>
          <w:szCs w:val="26"/>
        </w:rPr>
        <w:t xml:space="preserve">nhưng vẫn còn một </w:t>
      </w:r>
      <w:r w:rsidR="000F4758">
        <w:rPr>
          <w:rFonts w:ascii="Times New Roman" w:hAnsi="Times New Roman" w:cs="Times New Roman"/>
          <w:sz w:val="26"/>
          <w:szCs w:val="26"/>
        </w:rPr>
        <w:t xml:space="preserve">số hộ chưa tuân thủ hoàn toàn theo quy trình sản xuất </w:t>
      </w:r>
      <w:r w:rsidR="00567340">
        <w:rPr>
          <w:rFonts w:ascii="Times New Roman" w:hAnsi="Times New Roman" w:cs="Times New Roman"/>
          <w:sz w:val="26"/>
          <w:szCs w:val="26"/>
        </w:rPr>
        <w:t>V</w:t>
      </w:r>
      <w:r w:rsidR="000F4758">
        <w:rPr>
          <w:rFonts w:ascii="Times New Roman" w:hAnsi="Times New Roman" w:cs="Times New Roman"/>
          <w:sz w:val="26"/>
          <w:szCs w:val="26"/>
        </w:rPr>
        <w:t>ietGAP</w:t>
      </w:r>
      <w:r w:rsidR="00B459E6">
        <w:rPr>
          <w:rFonts w:ascii="Times New Roman" w:hAnsi="Times New Roman" w:cs="Times New Roman"/>
          <w:sz w:val="26"/>
          <w:szCs w:val="26"/>
        </w:rPr>
        <w:t>,</w:t>
      </w:r>
      <w:r w:rsidR="008C14D0">
        <w:rPr>
          <w:rFonts w:ascii="Times New Roman" w:hAnsi="Times New Roman" w:cs="Times New Roman"/>
          <w:sz w:val="26"/>
          <w:szCs w:val="26"/>
        </w:rPr>
        <w:t xml:space="preserve"> như</w:t>
      </w:r>
      <w:r w:rsidR="00B459E6">
        <w:rPr>
          <w:rFonts w:ascii="Times New Roman" w:hAnsi="Times New Roman" w:cs="Times New Roman"/>
          <w:sz w:val="26"/>
          <w:szCs w:val="26"/>
        </w:rPr>
        <w:t>:</w:t>
      </w:r>
      <w:r w:rsidR="000F4758">
        <w:rPr>
          <w:rFonts w:ascii="Times New Roman" w:hAnsi="Times New Roman" w:cs="Times New Roman"/>
          <w:sz w:val="26"/>
          <w:szCs w:val="26"/>
        </w:rPr>
        <w:t xml:space="preserve"> việc ghi chép nhật ký đồng ruộng vẫn chưa được thực hiện </w:t>
      </w:r>
      <w:r w:rsidR="008A6C1E">
        <w:rPr>
          <w:rFonts w:ascii="Times New Roman" w:hAnsi="Times New Roman" w:cs="Times New Roman"/>
          <w:sz w:val="26"/>
          <w:szCs w:val="26"/>
        </w:rPr>
        <w:t>đúng theo hướng dẫn, v</w:t>
      </w:r>
      <w:r w:rsidR="00AA45AD">
        <w:rPr>
          <w:rFonts w:ascii="Times New Roman" w:hAnsi="Times New Roman" w:cs="Times New Roman"/>
          <w:sz w:val="26"/>
          <w:szCs w:val="26"/>
        </w:rPr>
        <w:t>iệc ứng dụng kỹ thuật canh tác theo quy trình VietGAP chưa đồng bộ nên chất lượng rau chưa đồng đều.</w:t>
      </w:r>
    </w:p>
    <w:p w14:paraId="3477F365" w14:textId="3291D0C0" w:rsidR="00490A2A" w:rsidRDefault="00B459E6" w:rsidP="00C75BCF">
      <w:pPr>
        <w:spacing w:after="0" w:line="360" w:lineRule="auto"/>
        <w:ind w:firstLine="720"/>
        <w:jc w:val="both"/>
        <w:rPr>
          <w:rFonts w:ascii="Times New Roman" w:hAnsi="Times New Roman" w:cs="Times New Roman"/>
          <w:sz w:val="26"/>
          <w:szCs w:val="26"/>
        </w:rPr>
      </w:pPr>
      <w:r w:rsidRPr="00B459E6">
        <w:rPr>
          <w:rFonts w:ascii="Times New Roman" w:hAnsi="Times New Roman" w:cs="Times New Roman"/>
          <w:b/>
          <w:bCs/>
          <w:i/>
          <w:iCs/>
          <w:sz w:val="26"/>
          <w:szCs w:val="26"/>
        </w:rPr>
        <w:t>Thứ hai,</w:t>
      </w:r>
      <w:r>
        <w:rPr>
          <w:rFonts w:ascii="Times New Roman" w:hAnsi="Times New Roman" w:cs="Times New Roman"/>
          <w:sz w:val="26"/>
          <w:szCs w:val="26"/>
        </w:rPr>
        <w:t xml:space="preserve"> </w:t>
      </w:r>
      <w:r w:rsidR="00490A2A">
        <w:rPr>
          <w:rFonts w:ascii="Times New Roman" w:hAnsi="Times New Roman" w:cs="Times New Roman"/>
          <w:sz w:val="26"/>
          <w:szCs w:val="26"/>
        </w:rPr>
        <w:t xml:space="preserve"> </w:t>
      </w:r>
      <w:r>
        <w:rPr>
          <w:rFonts w:ascii="Times New Roman" w:hAnsi="Times New Roman" w:cs="Times New Roman"/>
          <w:sz w:val="26"/>
          <w:szCs w:val="26"/>
        </w:rPr>
        <w:t>t</w:t>
      </w:r>
      <w:r w:rsidR="00054850">
        <w:rPr>
          <w:rFonts w:ascii="Times New Roman" w:hAnsi="Times New Roman" w:cs="Times New Roman"/>
          <w:sz w:val="26"/>
          <w:szCs w:val="26"/>
        </w:rPr>
        <w:t xml:space="preserve">hị trường không ổn định, giá cả lên xuống thất thường, nhất là tiêu thụ ở các chợ ngoại tỉnh. Bên cạnh đó, chi phí đầu tư cho </w:t>
      </w:r>
      <w:r w:rsidR="00483811">
        <w:rPr>
          <w:rFonts w:ascii="Times New Roman" w:hAnsi="Times New Roman" w:cs="Times New Roman"/>
          <w:sz w:val="26"/>
          <w:szCs w:val="26"/>
        </w:rPr>
        <w:t>sản xuất rau má VietGAP</w:t>
      </w:r>
      <w:r w:rsidR="00054850">
        <w:rPr>
          <w:rFonts w:ascii="Times New Roman" w:hAnsi="Times New Roman" w:cs="Times New Roman"/>
          <w:sz w:val="26"/>
          <w:szCs w:val="26"/>
        </w:rPr>
        <w:t xml:space="preserve"> ngày càng tăng do giá các loại vật tư, phân bón, thuốc bảo vệ thực vật</w:t>
      </w:r>
      <w:r w:rsidR="00483811">
        <w:rPr>
          <w:rFonts w:ascii="Times New Roman" w:hAnsi="Times New Roman" w:cs="Times New Roman"/>
          <w:sz w:val="26"/>
          <w:szCs w:val="26"/>
        </w:rPr>
        <w:t>, chi phí thuê lao động</w:t>
      </w:r>
      <w:r w:rsidR="00054850">
        <w:rPr>
          <w:rFonts w:ascii="Times New Roman" w:hAnsi="Times New Roman" w:cs="Times New Roman"/>
          <w:sz w:val="26"/>
          <w:szCs w:val="26"/>
        </w:rPr>
        <w:t xml:space="preserve"> tăng</w:t>
      </w:r>
      <w:r w:rsidR="00483811">
        <w:rPr>
          <w:rFonts w:ascii="Times New Roman" w:hAnsi="Times New Roman" w:cs="Times New Roman"/>
          <w:sz w:val="26"/>
          <w:szCs w:val="26"/>
        </w:rPr>
        <w:t xml:space="preserve"> đã gây ra những rủi ro cho hộ sản xuất</w:t>
      </w:r>
      <w:r w:rsidR="00AA45AD">
        <w:rPr>
          <w:rFonts w:ascii="Times New Roman" w:hAnsi="Times New Roman" w:cs="Times New Roman"/>
          <w:sz w:val="26"/>
          <w:szCs w:val="26"/>
        </w:rPr>
        <w:t>.</w:t>
      </w:r>
    </w:p>
    <w:p w14:paraId="6A549777" w14:textId="73AC1BEF" w:rsidR="001B5811" w:rsidRDefault="00B459E6" w:rsidP="001B5811">
      <w:pPr>
        <w:spacing w:after="0" w:line="360" w:lineRule="auto"/>
        <w:ind w:firstLine="720"/>
        <w:jc w:val="both"/>
        <w:rPr>
          <w:rFonts w:ascii="Times New Roman" w:hAnsi="Times New Roman" w:cs="Times New Roman"/>
          <w:sz w:val="26"/>
          <w:szCs w:val="26"/>
        </w:rPr>
      </w:pPr>
      <w:r w:rsidRPr="00B459E6">
        <w:rPr>
          <w:rFonts w:ascii="Times New Roman" w:hAnsi="Times New Roman" w:cs="Times New Roman"/>
          <w:b/>
          <w:bCs/>
          <w:i/>
          <w:iCs/>
          <w:sz w:val="26"/>
          <w:szCs w:val="26"/>
        </w:rPr>
        <w:lastRenderedPageBreak/>
        <w:t>Thứ ba,</w:t>
      </w:r>
      <w:r w:rsidR="00191F5F">
        <w:rPr>
          <w:rFonts w:ascii="Times New Roman" w:hAnsi="Times New Roman" w:cs="Times New Roman"/>
          <w:sz w:val="26"/>
          <w:szCs w:val="26"/>
        </w:rPr>
        <w:t xml:space="preserve"> </w:t>
      </w:r>
      <w:r w:rsidR="00A17242">
        <w:rPr>
          <w:rFonts w:ascii="Times New Roman" w:hAnsi="Times New Roman" w:cs="Times New Roman"/>
          <w:sz w:val="26"/>
          <w:szCs w:val="26"/>
        </w:rPr>
        <w:t xml:space="preserve">Hiện tại mạng lưới thu gom sản phẩm rau má tại huyện Quảng Điền chưa có tính liên kết. Những người thu gom chỉ hoạt động mang tính thời vụ, quy mô nhỏ. </w:t>
      </w:r>
      <w:r w:rsidR="001B5811">
        <w:rPr>
          <w:rFonts w:ascii="Times New Roman" w:hAnsi="Times New Roman" w:cs="Times New Roman"/>
          <w:sz w:val="26"/>
          <w:szCs w:val="26"/>
        </w:rPr>
        <w:t xml:space="preserve">Sự không phân biệt rõ ràng </w:t>
      </w:r>
      <w:r>
        <w:rPr>
          <w:rFonts w:ascii="Times New Roman" w:hAnsi="Times New Roman" w:cs="Times New Roman"/>
          <w:sz w:val="26"/>
          <w:szCs w:val="26"/>
        </w:rPr>
        <w:t>giữa</w:t>
      </w:r>
      <w:r w:rsidR="001B5811">
        <w:rPr>
          <w:rFonts w:ascii="Times New Roman" w:hAnsi="Times New Roman" w:cs="Times New Roman"/>
          <w:sz w:val="26"/>
          <w:szCs w:val="26"/>
        </w:rPr>
        <w:t xml:space="preserve"> rau má VietGAP và rau má </w:t>
      </w:r>
      <w:r w:rsidR="001F7E24">
        <w:rPr>
          <w:rFonts w:ascii="Times New Roman" w:hAnsi="Times New Roman" w:cs="Times New Roman"/>
          <w:sz w:val="26"/>
          <w:szCs w:val="26"/>
        </w:rPr>
        <w:t>truyền thống</w:t>
      </w:r>
      <w:r w:rsidR="001B5811">
        <w:rPr>
          <w:rFonts w:ascii="Times New Roman" w:hAnsi="Times New Roman" w:cs="Times New Roman"/>
          <w:sz w:val="26"/>
          <w:szCs w:val="26"/>
        </w:rPr>
        <w:t xml:space="preserve"> và giá </w:t>
      </w:r>
      <w:r w:rsidR="001F7E24">
        <w:rPr>
          <w:rFonts w:ascii="Times New Roman" w:hAnsi="Times New Roman" w:cs="Times New Roman"/>
          <w:sz w:val="26"/>
          <w:szCs w:val="26"/>
        </w:rPr>
        <w:t xml:space="preserve">bán </w:t>
      </w:r>
      <w:r w:rsidR="001B5811">
        <w:rPr>
          <w:rFonts w:ascii="Times New Roman" w:hAnsi="Times New Roman" w:cs="Times New Roman"/>
          <w:sz w:val="26"/>
          <w:szCs w:val="26"/>
        </w:rPr>
        <w:t>tương ứng trên thị trường khiến người tiêu dùng hoang mang. Lòng tin của người tiêu dùng vào rau má VietGAP còn chưa được khẳng định.</w:t>
      </w:r>
    </w:p>
    <w:p w14:paraId="19BB650C" w14:textId="1BBBDADA" w:rsidR="00430AE2" w:rsidRDefault="00B459E6" w:rsidP="00C75BCF">
      <w:pPr>
        <w:spacing w:after="0" w:line="360" w:lineRule="auto"/>
        <w:ind w:firstLine="720"/>
        <w:jc w:val="both"/>
        <w:rPr>
          <w:rFonts w:ascii="Times New Roman" w:hAnsi="Times New Roman" w:cs="Times New Roman"/>
          <w:sz w:val="26"/>
          <w:szCs w:val="26"/>
        </w:rPr>
      </w:pPr>
      <w:r w:rsidRPr="00B459E6">
        <w:rPr>
          <w:rFonts w:ascii="Times New Roman" w:hAnsi="Times New Roman" w:cs="Times New Roman"/>
          <w:b/>
          <w:bCs/>
          <w:i/>
          <w:iCs/>
          <w:sz w:val="26"/>
          <w:szCs w:val="26"/>
        </w:rPr>
        <w:t>Thứ tư,</w:t>
      </w:r>
      <w:r>
        <w:rPr>
          <w:rFonts w:ascii="Times New Roman" w:hAnsi="Times New Roman" w:cs="Times New Roman"/>
          <w:sz w:val="26"/>
          <w:szCs w:val="26"/>
        </w:rPr>
        <w:t xml:space="preserve"> s</w:t>
      </w:r>
      <w:r w:rsidR="00C75BCF">
        <w:rPr>
          <w:rFonts w:ascii="Times New Roman" w:hAnsi="Times New Roman" w:cs="Times New Roman"/>
          <w:sz w:val="26"/>
          <w:szCs w:val="26"/>
        </w:rPr>
        <w:t xml:space="preserve">ản phẩm </w:t>
      </w:r>
      <w:r w:rsidR="001B5811">
        <w:rPr>
          <w:rFonts w:ascii="Times New Roman" w:hAnsi="Times New Roman" w:cs="Times New Roman"/>
          <w:sz w:val="26"/>
          <w:szCs w:val="26"/>
        </w:rPr>
        <w:t xml:space="preserve">rau má VietGAP được </w:t>
      </w:r>
      <w:r w:rsidR="00C75BCF">
        <w:rPr>
          <w:rFonts w:ascii="Times New Roman" w:hAnsi="Times New Roman" w:cs="Times New Roman"/>
          <w:sz w:val="26"/>
          <w:szCs w:val="26"/>
        </w:rPr>
        <w:t>tiêu thụ trên thị</w:t>
      </w:r>
      <w:r w:rsidR="00AA45AD">
        <w:rPr>
          <w:rFonts w:ascii="Times New Roman" w:hAnsi="Times New Roman" w:cs="Times New Roman"/>
          <w:sz w:val="26"/>
          <w:szCs w:val="26"/>
        </w:rPr>
        <w:t xml:space="preserve"> </w:t>
      </w:r>
      <w:r w:rsidR="00C75BCF">
        <w:rPr>
          <w:rFonts w:ascii="Times New Roman" w:hAnsi="Times New Roman" w:cs="Times New Roman"/>
          <w:sz w:val="26"/>
          <w:szCs w:val="26"/>
        </w:rPr>
        <w:t xml:space="preserve">trường chưa được đóng </w:t>
      </w:r>
      <w:r w:rsidR="001B5811">
        <w:rPr>
          <w:rFonts w:ascii="Times New Roman" w:hAnsi="Times New Roman" w:cs="Times New Roman"/>
          <w:sz w:val="26"/>
          <w:szCs w:val="26"/>
        </w:rPr>
        <w:t xml:space="preserve">gói, dán </w:t>
      </w:r>
      <w:r w:rsidR="00C75BCF">
        <w:rPr>
          <w:rFonts w:ascii="Times New Roman" w:hAnsi="Times New Roman" w:cs="Times New Roman"/>
          <w:sz w:val="26"/>
          <w:szCs w:val="26"/>
        </w:rPr>
        <w:t>nhãn để người tiêu dùng có thể truy xuất nguồn g</w:t>
      </w:r>
      <w:r w:rsidR="001B5811">
        <w:rPr>
          <w:rFonts w:ascii="Times New Roman" w:hAnsi="Times New Roman" w:cs="Times New Roman"/>
          <w:sz w:val="26"/>
          <w:szCs w:val="26"/>
        </w:rPr>
        <w:t>ốc</w:t>
      </w:r>
      <w:r w:rsidR="00C75BCF">
        <w:rPr>
          <w:rFonts w:ascii="Times New Roman" w:hAnsi="Times New Roman" w:cs="Times New Roman"/>
          <w:sz w:val="26"/>
          <w:szCs w:val="26"/>
        </w:rPr>
        <w:t xml:space="preserve"> sản phẩm.</w:t>
      </w:r>
      <w:r w:rsidR="001B5811">
        <w:rPr>
          <w:rFonts w:ascii="Times New Roman" w:hAnsi="Times New Roman" w:cs="Times New Roman"/>
          <w:sz w:val="26"/>
          <w:szCs w:val="26"/>
        </w:rPr>
        <w:t xml:space="preserve"> </w:t>
      </w:r>
      <w:r w:rsidR="00430AE2">
        <w:rPr>
          <w:rFonts w:ascii="Times New Roman" w:hAnsi="Times New Roman" w:cs="Times New Roman"/>
          <w:sz w:val="26"/>
          <w:szCs w:val="26"/>
        </w:rPr>
        <w:t>Việc thu hoạch rau má vẫn thực hiện thủ công, công nghệ chế biến chỉ dừng lại ở mức đơn giản, truyền thống nên khối lượng sản phẩm nhanh bị hao hụt, hư hỏng, chất lượng cũng bị giảm khi thời gian tiêu thụ chậm.</w:t>
      </w:r>
      <w:r w:rsidR="001B5811">
        <w:rPr>
          <w:rFonts w:ascii="Times New Roman" w:hAnsi="Times New Roman" w:cs="Times New Roman"/>
          <w:sz w:val="26"/>
          <w:szCs w:val="26"/>
        </w:rPr>
        <w:t xml:space="preserve"> Khối lượng sản phẩm rau má VietGAP được chế biến thành các sản phẩm có chất lượng và giá trị cao như trà rau má còn hạn chế.</w:t>
      </w:r>
    </w:p>
    <w:p w14:paraId="40CD0CD2" w14:textId="047AD0BD" w:rsidR="001B5811" w:rsidRPr="00E3772B" w:rsidRDefault="00575D09" w:rsidP="001B5811">
      <w:pPr>
        <w:spacing w:after="0" w:line="360" w:lineRule="auto"/>
        <w:ind w:firstLine="720"/>
        <w:jc w:val="both"/>
        <w:rPr>
          <w:rFonts w:ascii="Times New Roman" w:hAnsi="Times New Roman" w:cs="Times New Roman"/>
          <w:sz w:val="26"/>
          <w:szCs w:val="26"/>
        </w:rPr>
      </w:pPr>
      <w:r w:rsidRPr="00575D09">
        <w:rPr>
          <w:rFonts w:ascii="Times New Roman" w:hAnsi="Times New Roman" w:cs="Times New Roman"/>
          <w:b/>
          <w:bCs/>
          <w:i/>
          <w:iCs/>
          <w:sz w:val="26"/>
          <w:szCs w:val="26"/>
        </w:rPr>
        <w:t>Thứ năm,</w:t>
      </w:r>
      <w:r w:rsidR="001B5811">
        <w:rPr>
          <w:rFonts w:ascii="Times New Roman" w:hAnsi="Times New Roman" w:cs="Times New Roman"/>
          <w:sz w:val="26"/>
          <w:szCs w:val="26"/>
        </w:rPr>
        <w:t xml:space="preserve"> </w:t>
      </w:r>
      <w:r>
        <w:rPr>
          <w:rFonts w:ascii="Times New Roman" w:hAnsi="Times New Roman" w:cs="Times New Roman"/>
          <w:sz w:val="26"/>
          <w:szCs w:val="26"/>
        </w:rPr>
        <w:t>h</w:t>
      </w:r>
      <w:r w:rsidR="001B5811">
        <w:rPr>
          <w:rFonts w:ascii="Times New Roman" w:hAnsi="Times New Roman" w:cs="Times New Roman"/>
          <w:sz w:val="26"/>
          <w:szCs w:val="26"/>
        </w:rPr>
        <w:t xml:space="preserve">oạt động của các tổ trong việc kiểm tra, giám sát, hỗ trợ vẫn chưa được thực hiện thường xuyên, đồng bộ và chặt chẽ, nhất là trong công tác chứng nhận vùng rau VietGAP. Công tác nghiên cứu thị trường, quảng bá sản phẩm chưa được đẩy mạnh. </w:t>
      </w:r>
    </w:p>
    <w:p w14:paraId="4C332034" w14:textId="0BC00F60" w:rsidR="002D4AB6" w:rsidRPr="00AA45AD" w:rsidRDefault="00E3772B" w:rsidP="00B2567C">
      <w:pPr>
        <w:spacing w:after="0" w:line="360" w:lineRule="auto"/>
        <w:jc w:val="both"/>
        <w:rPr>
          <w:rFonts w:ascii="Times New Roman" w:hAnsi="Times New Roman" w:cs="Times New Roman"/>
          <w:b/>
          <w:bCs/>
          <w:sz w:val="26"/>
          <w:szCs w:val="26"/>
        </w:rPr>
      </w:pPr>
      <w:r w:rsidRPr="00AA45AD">
        <w:rPr>
          <w:rFonts w:ascii="Times New Roman" w:hAnsi="Times New Roman" w:cs="Times New Roman"/>
          <w:b/>
          <w:bCs/>
          <w:sz w:val="26"/>
          <w:szCs w:val="26"/>
        </w:rPr>
        <w:t>MỘT SỐ</w:t>
      </w:r>
      <w:r w:rsidR="00AC270C" w:rsidRPr="00AA45AD">
        <w:rPr>
          <w:rFonts w:ascii="Times New Roman" w:hAnsi="Times New Roman" w:cs="Times New Roman"/>
          <w:b/>
          <w:bCs/>
          <w:sz w:val="26"/>
          <w:szCs w:val="26"/>
        </w:rPr>
        <w:t xml:space="preserve"> </w:t>
      </w:r>
      <w:r w:rsidR="00F014C0" w:rsidRPr="00AA45AD">
        <w:rPr>
          <w:rFonts w:ascii="Times New Roman" w:hAnsi="Times New Roman" w:cs="Times New Roman"/>
          <w:b/>
          <w:bCs/>
          <w:sz w:val="26"/>
          <w:szCs w:val="26"/>
        </w:rPr>
        <w:t>GIẢI PHÁP ĐỀ XUẤT</w:t>
      </w:r>
    </w:p>
    <w:p w14:paraId="7F8AF2AD" w14:textId="621A9A0F" w:rsidR="000021B8" w:rsidRDefault="000021B8" w:rsidP="000021B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Để phát triển sản xuất rau má VietGAP ở huyện Quảng Điền</w:t>
      </w:r>
      <w:r w:rsidR="00575D09">
        <w:rPr>
          <w:rFonts w:ascii="Times New Roman" w:hAnsi="Times New Roman" w:cs="Times New Roman"/>
          <w:sz w:val="26"/>
          <w:szCs w:val="26"/>
        </w:rPr>
        <w:t>,</w:t>
      </w:r>
      <w:r>
        <w:rPr>
          <w:rFonts w:ascii="Times New Roman" w:hAnsi="Times New Roman" w:cs="Times New Roman"/>
          <w:sz w:val="26"/>
          <w:szCs w:val="26"/>
        </w:rPr>
        <w:t xml:space="preserve"> cần thực hiện một số giải pháp sau:</w:t>
      </w:r>
    </w:p>
    <w:p w14:paraId="542CAC70" w14:textId="60AD456A" w:rsidR="006E451C" w:rsidRDefault="00575D09" w:rsidP="000021B8">
      <w:pPr>
        <w:spacing w:after="0" w:line="360" w:lineRule="auto"/>
        <w:ind w:firstLine="720"/>
        <w:jc w:val="both"/>
        <w:rPr>
          <w:rFonts w:ascii="Times New Roman" w:hAnsi="Times New Roman" w:cs="Times New Roman"/>
          <w:sz w:val="26"/>
          <w:szCs w:val="26"/>
        </w:rPr>
      </w:pPr>
      <w:r w:rsidRPr="00575D09">
        <w:rPr>
          <w:rFonts w:ascii="Times New Roman" w:hAnsi="Times New Roman" w:cs="Times New Roman"/>
          <w:b/>
          <w:bCs/>
          <w:i/>
          <w:iCs/>
          <w:sz w:val="26"/>
          <w:szCs w:val="26"/>
        </w:rPr>
        <w:t>Một là</w:t>
      </w:r>
      <w:r>
        <w:rPr>
          <w:rFonts w:ascii="Times New Roman" w:hAnsi="Times New Roman" w:cs="Times New Roman"/>
          <w:i/>
          <w:iCs/>
          <w:sz w:val="26"/>
          <w:szCs w:val="26"/>
        </w:rPr>
        <w:t>,</w:t>
      </w:r>
      <w:r w:rsidR="00134E27">
        <w:rPr>
          <w:rFonts w:ascii="Times New Roman" w:hAnsi="Times New Roman" w:cs="Times New Roman"/>
          <w:sz w:val="26"/>
          <w:szCs w:val="26"/>
        </w:rPr>
        <w:t xml:space="preserve"> </w:t>
      </w:r>
      <w:r>
        <w:rPr>
          <w:rFonts w:ascii="Times New Roman" w:hAnsi="Times New Roman" w:cs="Times New Roman"/>
          <w:sz w:val="26"/>
          <w:szCs w:val="26"/>
        </w:rPr>
        <w:t>n</w:t>
      </w:r>
      <w:r w:rsidR="006E451C">
        <w:rPr>
          <w:rFonts w:ascii="Times New Roman" w:hAnsi="Times New Roman" w:cs="Times New Roman"/>
          <w:sz w:val="26"/>
          <w:szCs w:val="26"/>
        </w:rPr>
        <w:t xml:space="preserve">âng cao nhận thức cho hộ sản xuất trong việc tuân thủ đúng </w:t>
      </w:r>
      <w:r w:rsidR="00134E27">
        <w:rPr>
          <w:rFonts w:ascii="Times New Roman" w:hAnsi="Times New Roman" w:cs="Times New Roman"/>
          <w:sz w:val="26"/>
          <w:szCs w:val="26"/>
        </w:rPr>
        <w:t>quy trình VietGAP</w:t>
      </w:r>
      <w:r w:rsidR="000021B8">
        <w:rPr>
          <w:rFonts w:ascii="Times New Roman" w:hAnsi="Times New Roman" w:cs="Times New Roman"/>
          <w:sz w:val="26"/>
          <w:szCs w:val="26"/>
        </w:rPr>
        <w:t xml:space="preserve"> trong sản xuất rau má</w:t>
      </w:r>
      <w:r w:rsidR="006E451C">
        <w:rPr>
          <w:rFonts w:ascii="Times New Roman" w:hAnsi="Times New Roman" w:cs="Times New Roman"/>
          <w:sz w:val="26"/>
          <w:szCs w:val="26"/>
        </w:rPr>
        <w:t xml:space="preserve"> và cam kết thực hiện đúng quy trình VietGAP nhằm cung cấp cho thị trường sản phẩm rau má an toàn, đảm bảo chất lượng. </w:t>
      </w:r>
    </w:p>
    <w:p w14:paraId="1D0B1194" w14:textId="29AB389A" w:rsidR="008A37F5" w:rsidRDefault="00575D09" w:rsidP="008A37F5">
      <w:pPr>
        <w:spacing w:after="0" w:line="360" w:lineRule="auto"/>
        <w:ind w:firstLine="720"/>
        <w:jc w:val="both"/>
        <w:rPr>
          <w:rFonts w:ascii="Times New Roman" w:hAnsi="Times New Roman" w:cs="Times New Roman"/>
          <w:sz w:val="26"/>
          <w:szCs w:val="26"/>
        </w:rPr>
      </w:pPr>
      <w:r w:rsidRPr="00575D09">
        <w:rPr>
          <w:rFonts w:ascii="Times New Roman" w:hAnsi="Times New Roman" w:cs="Times New Roman"/>
          <w:b/>
          <w:bCs/>
          <w:i/>
          <w:iCs/>
          <w:sz w:val="26"/>
          <w:szCs w:val="26"/>
        </w:rPr>
        <w:t>Hai là,</w:t>
      </w:r>
      <w:r w:rsidR="008A37F5">
        <w:rPr>
          <w:rFonts w:ascii="Times New Roman" w:hAnsi="Times New Roman" w:cs="Times New Roman"/>
          <w:sz w:val="26"/>
          <w:szCs w:val="26"/>
        </w:rPr>
        <w:t xml:space="preserve"> </w:t>
      </w:r>
      <w:r>
        <w:rPr>
          <w:rFonts w:ascii="Times New Roman" w:hAnsi="Times New Roman" w:cs="Times New Roman"/>
          <w:sz w:val="26"/>
          <w:szCs w:val="26"/>
        </w:rPr>
        <w:t>t</w:t>
      </w:r>
      <w:r w:rsidR="008A37F5">
        <w:rPr>
          <w:rFonts w:ascii="Times New Roman" w:hAnsi="Times New Roman" w:cs="Times New Roman"/>
          <w:sz w:val="26"/>
          <w:szCs w:val="26"/>
        </w:rPr>
        <w:t xml:space="preserve">ăng cường </w:t>
      </w:r>
      <w:r w:rsidR="001B5811">
        <w:rPr>
          <w:rFonts w:ascii="Times New Roman" w:hAnsi="Times New Roman" w:cs="Times New Roman"/>
          <w:sz w:val="26"/>
          <w:szCs w:val="26"/>
        </w:rPr>
        <w:t xml:space="preserve">công tác </w:t>
      </w:r>
      <w:r w:rsidR="008A37F5">
        <w:rPr>
          <w:rFonts w:ascii="Times New Roman" w:hAnsi="Times New Roman" w:cs="Times New Roman"/>
          <w:sz w:val="26"/>
          <w:szCs w:val="26"/>
        </w:rPr>
        <w:t>kiểm soát sản xuất và kiểm tra chất lượng sản phẩm thông qua việc tự kiểm tra, cán bộ kiểm tra, thanh tra kiểm tra. Tăng cường vai trò giám sát lẫn nhau trong thực hiện quy trình sản xuất.</w:t>
      </w:r>
    </w:p>
    <w:p w14:paraId="0B8C6BEC" w14:textId="67008346" w:rsidR="008A37F5" w:rsidRDefault="00575D09" w:rsidP="008A37F5">
      <w:pPr>
        <w:spacing w:after="0" w:line="360" w:lineRule="auto"/>
        <w:ind w:firstLine="720"/>
        <w:jc w:val="both"/>
        <w:rPr>
          <w:rFonts w:ascii="Times New Roman" w:hAnsi="Times New Roman" w:cs="Times New Roman"/>
          <w:sz w:val="26"/>
          <w:szCs w:val="26"/>
        </w:rPr>
      </w:pPr>
      <w:r w:rsidRPr="00575D09">
        <w:rPr>
          <w:rFonts w:ascii="Times New Roman" w:hAnsi="Times New Roman" w:cs="Times New Roman"/>
          <w:b/>
          <w:bCs/>
          <w:i/>
          <w:iCs/>
          <w:sz w:val="26"/>
          <w:szCs w:val="26"/>
        </w:rPr>
        <w:t>Ba là,</w:t>
      </w:r>
      <w:r w:rsidR="008A37F5">
        <w:rPr>
          <w:rFonts w:ascii="Times New Roman" w:hAnsi="Times New Roman" w:cs="Times New Roman"/>
          <w:sz w:val="26"/>
          <w:szCs w:val="26"/>
        </w:rPr>
        <w:t xml:space="preserve"> </w:t>
      </w:r>
      <w:r>
        <w:rPr>
          <w:rFonts w:ascii="Times New Roman" w:hAnsi="Times New Roman" w:cs="Times New Roman"/>
          <w:sz w:val="26"/>
          <w:szCs w:val="26"/>
        </w:rPr>
        <w:t>t</w:t>
      </w:r>
      <w:r w:rsidR="008A37F5">
        <w:rPr>
          <w:rFonts w:ascii="Times New Roman" w:hAnsi="Times New Roman" w:cs="Times New Roman"/>
          <w:sz w:val="26"/>
          <w:szCs w:val="26"/>
        </w:rPr>
        <w:t>ạo sự liên kết chặt chẽ trong hoạt động sản xuất và tiêu thụ sản phẩm rau má VietGAP</w:t>
      </w:r>
      <w:r w:rsidR="00B97CFF">
        <w:rPr>
          <w:rFonts w:ascii="Times New Roman" w:hAnsi="Times New Roman" w:cs="Times New Roman"/>
          <w:sz w:val="26"/>
          <w:szCs w:val="26"/>
        </w:rPr>
        <w:t xml:space="preserve"> thông qua tăng cường mối quan hệ liên kết giữa các hộ sản xuất và mối quan hệ liên kết giữa hộ sản xuất với HTX </w:t>
      </w:r>
      <w:r>
        <w:rPr>
          <w:rFonts w:ascii="Times New Roman" w:hAnsi="Times New Roman" w:cs="Times New Roman"/>
          <w:sz w:val="26"/>
          <w:szCs w:val="26"/>
        </w:rPr>
        <w:t xml:space="preserve">nông nghiệp </w:t>
      </w:r>
      <w:r w:rsidR="00B97CFF">
        <w:rPr>
          <w:rFonts w:ascii="Times New Roman" w:hAnsi="Times New Roman" w:cs="Times New Roman"/>
          <w:sz w:val="26"/>
          <w:szCs w:val="26"/>
        </w:rPr>
        <w:t xml:space="preserve">Quảng Thọ II cũng như </w:t>
      </w:r>
      <w:r w:rsidR="001F7E24">
        <w:rPr>
          <w:rFonts w:ascii="Times New Roman" w:hAnsi="Times New Roman" w:cs="Times New Roman"/>
          <w:sz w:val="26"/>
          <w:szCs w:val="26"/>
        </w:rPr>
        <w:t xml:space="preserve">với </w:t>
      </w:r>
      <w:r w:rsidR="00B97CFF">
        <w:rPr>
          <w:rFonts w:ascii="Times New Roman" w:hAnsi="Times New Roman" w:cs="Times New Roman"/>
          <w:sz w:val="26"/>
          <w:szCs w:val="26"/>
        </w:rPr>
        <w:t>người thu gom nhằm xác định quy mô sản xuất phù hợp, đáp ứng nhu cầu thị trường về số lượng và chất lượng rau má.</w:t>
      </w:r>
    </w:p>
    <w:p w14:paraId="05249657" w14:textId="3908363C" w:rsidR="00B97CFF" w:rsidRDefault="00575D09" w:rsidP="008A37F5">
      <w:pPr>
        <w:spacing w:after="0" w:line="360" w:lineRule="auto"/>
        <w:ind w:firstLine="720"/>
        <w:jc w:val="both"/>
        <w:rPr>
          <w:rFonts w:ascii="Times New Roman" w:hAnsi="Times New Roman" w:cs="Times New Roman"/>
          <w:sz w:val="26"/>
          <w:szCs w:val="26"/>
        </w:rPr>
      </w:pPr>
      <w:r w:rsidRPr="00575D09">
        <w:rPr>
          <w:rFonts w:ascii="Times New Roman" w:hAnsi="Times New Roman" w:cs="Times New Roman"/>
          <w:b/>
          <w:bCs/>
          <w:i/>
          <w:iCs/>
          <w:sz w:val="26"/>
          <w:szCs w:val="26"/>
        </w:rPr>
        <w:lastRenderedPageBreak/>
        <w:t>Bốn là,</w:t>
      </w:r>
      <w:r>
        <w:rPr>
          <w:rFonts w:ascii="Times New Roman" w:hAnsi="Times New Roman" w:cs="Times New Roman"/>
          <w:i/>
          <w:iCs/>
          <w:sz w:val="26"/>
          <w:szCs w:val="26"/>
        </w:rPr>
        <w:t xml:space="preserve"> p</w:t>
      </w:r>
      <w:r w:rsidR="00B97CFF">
        <w:rPr>
          <w:rFonts w:ascii="Times New Roman" w:hAnsi="Times New Roman" w:cs="Times New Roman"/>
          <w:sz w:val="26"/>
          <w:szCs w:val="26"/>
        </w:rPr>
        <w:t>hát triển hoạt động chế biến sản phẩm rau má VietGAP</w:t>
      </w:r>
      <w:r w:rsidR="006E451C">
        <w:rPr>
          <w:rFonts w:ascii="Times New Roman" w:hAnsi="Times New Roman" w:cs="Times New Roman"/>
          <w:sz w:val="26"/>
          <w:szCs w:val="26"/>
        </w:rPr>
        <w:t>, đa dạng hóa sản phẩm nhằm tăng giá trị sản phẩm. Ngoài cung cấp rau má tươi cần tạo ra nhiều sản phẩm từ rau má n</w:t>
      </w:r>
      <w:r w:rsidR="001F7E24">
        <w:rPr>
          <w:rFonts w:ascii="Times New Roman" w:hAnsi="Times New Roman" w:cs="Times New Roman"/>
          <w:sz w:val="26"/>
          <w:szCs w:val="26"/>
        </w:rPr>
        <w:t>h</w:t>
      </w:r>
      <w:r w:rsidR="006E451C">
        <w:rPr>
          <w:rFonts w:ascii="Times New Roman" w:hAnsi="Times New Roman" w:cs="Times New Roman"/>
          <w:sz w:val="26"/>
          <w:szCs w:val="26"/>
        </w:rPr>
        <w:t>ư trà túi lọc, trà sao khô đóng gói hút chân không, trà rau má đóng chai</w:t>
      </w:r>
      <w:r w:rsidR="001F7E24">
        <w:rPr>
          <w:rFonts w:ascii="Times New Roman" w:hAnsi="Times New Roman" w:cs="Times New Roman"/>
          <w:sz w:val="26"/>
          <w:szCs w:val="26"/>
        </w:rPr>
        <w:t>,..</w:t>
      </w:r>
      <w:r w:rsidR="006E451C">
        <w:rPr>
          <w:rFonts w:ascii="Times New Roman" w:hAnsi="Times New Roman" w:cs="Times New Roman"/>
          <w:sz w:val="26"/>
          <w:szCs w:val="26"/>
        </w:rPr>
        <w:t>.</w:t>
      </w:r>
    </w:p>
    <w:p w14:paraId="188E0D5C" w14:textId="18EFCBD2" w:rsidR="008A37F5" w:rsidRDefault="00575D09" w:rsidP="008A37F5">
      <w:pPr>
        <w:spacing w:after="0" w:line="360" w:lineRule="auto"/>
        <w:ind w:firstLine="720"/>
        <w:jc w:val="both"/>
        <w:rPr>
          <w:rFonts w:ascii="Times New Roman" w:hAnsi="Times New Roman" w:cs="Times New Roman"/>
          <w:sz w:val="26"/>
          <w:szCs w:val="26"/>
        </w:rPr>
      </w:pPr>
      <w:r w:rsidRPr="00575D09">
        <w:rPr>
          <w:rFonts w:ascii="Times New Roman" w:hAnsi="Times New Roman" w:cs="Times New Roman"/>
          <w:b/>
          <w:bCs/>
          <w:i/>
          <w:iCs/>
          <w:sz w:val="26"/>
          <w:szCs w:val="26"/>
        </w:rPr>
        <w:t>Năm là,</w:t>
      </w:r>
      <w:r w:rsidR="00B97CFF">
        <w:rPr>
          <w:rFonts w:ascii="Times New Roman" w:hAnsi="Times New Roman" w:cs="Times New Roman"/>
          <w:sz w:val="26"/>
          <w:szCs w:val="26"/>
        </w:rPr>
        <w:t xml:space="preserve"> </w:t>
      </w:r>
      <w:r>
        <w:rPr>
          <w:rFonts w:ascii="Times New Roman" w:hAnsi="Times New Roman" w:cs="Times New Roman"/>
          <w:sz w:val="26"/>
          <w:szCs w:val="26"/>
        </w:rPr>
        <w:t>n</w:t>
      </w:r>
      <w:r w:rsidR="008A37F5">
        <w:rPr>
          <w:rFonts w:ascii="Times New Roman" w:hAnsi="Times New Roman" w:cs="Times New Roman"/>
          <w:sz w:val="26"/>
          <w:szCs w:val="26"/>
        </w:rPr>
        <w:t xml:space="preserve">âng cao vai trò hỗ trợ của </w:t>
      </w:r>
      <w:r w:rsidR="00B97CFF">
        <w:rPr>
          <w:rFonts w:ascii="Times New Roman" w:hAnsi="Times New Roman" w:cs="Times New Roman"/>
          <w:sz w:val="26"/>
          <w:szCs w:val="26"/>
        </w:rPr>
        <w:t>chính quyển địa phương</w:t>
      </w:r>
      <w:r w:rsidR="008A37F5">
        <w:rPr>
          <w:rFonts w:ascii="Times New Roman" w:hAnsi="Times New Roman" w:cs="Times New Roman"/>
          <w:sz w:val="26"/>
          <w:szCs w:val="26"/>
        </w:rPr>
        <w:t xml:space="preserve"> trong việc hỗ trợ hộ sản xuất</w:t>
      </w:r>
      <w:r w:rsidR="00B97CFF">
        <w:rPr>
          <w:rFonts w:ascii="Times New Roman" w:hAnsi="Times New Roman" w:cs="Times New Roman"/>
          <w:sz w:val="26"/>
          <w:szCs w:val="26"/>
        </w:rPr>
        <w:t>, quy hoạch vùng sản xuất, hoàn thiện hệ thống có sở hạ tầng phục vụ sản xuất</w:t>
      </w:r>
      <w:r w:rsidR="008A37F5">
        <w:rPr>
          <w:rFonts w:ascii="Times New Roman" w:hAnsi="Times New Roman" w:cs="Times New Roman"/>
          <w:sz w:val="26"/>
          <w:szCs w:val="26"/>
        </w:rPr>
        <w:t>. Tăng cường cô</w:t>
      </w:r>
      <w:r w:rsidR="001B5811">
        <w:rPr>
          <w:rFonts w:ascii="Times New Roman" w:hAnsi="Times New Roman" w:cs="Times New Roman"/>
          <w:sz w:val="26"/>
          <w:szCs w:val="26"/>
        </w:rPr>
        <w:t>ng</w:t>
      </w:r>
      <w:r w:rsidR="008A37F5">
        <w:rPr>
          <w:rFonts w:ascii="Times New Roman" w:hAnsi="Times New Roman" w:cs="Times New Roman"/>
          <w:sz w:val="26"/>
          <w:szCs w:val="26"/>
        </w:rPr>
        <w:t xml:space="preserve"> tác tuyên truyền, xúc tiến</w:t>
      </w:r>
      <w:r w:rsidR="00AA45AD">
        <w:rPr>
          <w:rFonts w:ascii="Times New Roman" w:hAnsi="Times New Roman" w:cs="Times New Roman"/>
          <w:sz w:val="26"/>
          <w:szCs w:val="26"/>
        </w:rPr>
        <w:t xml:space="preserve"> thương</w:t>
      </w:r>
      <w:r w:rsidR="008A37F5">
        <w:rPr>
          <w:rFonts w:ascii="Times New Roman" w:hAnsi="Times New Roman" w:cs="Times New Roman"/>
          <w:sz w:val="26"/>
          <w:szCs w:val="26"/>
        </w:rPr>
        <w:t xml:space="preserve"> mại thúc đẩy sản xuất và tiêu thụ sản phẩm.</w:t>
      </w:r>
    </w:p>
    <w:p w14:paraId="2E08369A" w14:textId="77777777" w:rsidR="0037559B" w:rsidRPr="001460F7" w:rsidRDefault="0037559B" w:rsidP="00B2567C">
      <w:pPr>
        <w:spacing w:after="0" w:line="360" w:lineRule="auto"/>
        <w:jc w:val="both"/>
        <w:rPr>
          <w:rFonts w:ascii="Times New Roman" w:hAnsi="Times New Roman" w:cs="Times New Roman"/>
          <w:b/>
          <w:bCs/>
          <w:sz w:val="26"/>
          <w:szCs w:val="26"/>
        </w:rPr>
      </w:pPr>
      <w:r w:rsidRPr="001460F7">
        <w:rPr>
          <w:rFonts w:ascii="Times New Roman" w:hAnsi="Times New Roman" w:cs="Times New Roman"/>
          <w:b/>
          <w:bCs/>
          <w:sz w:val="26"/>
          <w:szCs w:val="26"/>
        </w:rPr>
        <w:t>TÀI LIỆU THAM KHẢO</w:t>
      </w:r>
    </w:p>
    <w:p w14:paraId="42486CA7" w14:textId="2E75B4F7" w:rsidR="004D6E3A" w:rsidRDefault="002A4D67" w:rsidP="001460F7">
      <w:pPr>
        <w:spacing w:after="0" w:line="360" w:lineRule="auto"/>
        <w:ind w:firstLine="720"/>
        <w:jc w:val="both"/>
        <w:rPr>
          <w:rFonts w:ascii="Times New Roman" w:hAnsi="Times New Roman" w:cs="Times New Roman"/>
          <w:i/>
          <w:iCs/>
          <w:sz w:val="26"/>
          <w:szCs w:val="26"/>
        </w:rPr>
      </w:pPr>
      <w:r w:rsidRPr="00B2567C">
        <w:rPr>
          <w:rFonts w:ascii="Times New Roman" w:hAnsi="Times New Roman" w:cs="Times New Roman"/>
          <w:sz w:val="26"/>
          <w:szCs w:val="26"/>
        </w:rPr>
        <w:t xml:space="preserve">1. </w:t>
      </w:r>
      <w:r w:rsidR="004D6E3A" w:rsidRPr="00A76465">
        <w:rPr>
          <w:rFonts w:ascii="Times New Roman" w:hAnsi="Times New Roman" w:cs="Times New Roman"/>
          <w:sz w:val="26"/>
          <w:szCs w:val="26"/>
        </w:rPr>
        <w:t xml:space="preserve">UBND </w:t>
      </w:r>
      <w:r w:rsidR="004D6E3A">
        <w:rPr>
          <w:rFonts w:ascii="Times New Roman" w:hAnsi="Times New Roman" w:cs="Times New Roman"/>
          <w:sz w:val="26"/>
          <w:szCs w:val="26"/>
        </w:rPr>
        <w:t>huyện Quảng Điền</w:t>
      </w:r>
      <w:r w:rsidR="004D6E3A">
        <w:rPr>
          <w:rFonts w:ascii="Times New Roman" w:hAnsi="Times New Roman" w:cs="Times New Roman"/>
          <w:sz w:val="26"/>
          <w:szCs w:val="26"/>
        </w:rPr>
        <w:t xml:space="preserve"> (2019)</w:t>
      </w:r>
      <w:r w:rsidR="004D6E3A" w:rsidRPr="00A76465">
        <w:rPr>
          <w:rFonts w:ascii="Times New Roman" w:hAnsi="Times New Roman" w:cs="Times New Roman"/>
          <w:sz w:val="26"/>
          <w:szCs w:val="26"/>
        </w:rPr>
        <w:t xml:space="preserve">, </w:t>
      </w:r>
      <w:r w:rsidR="004D6E3A" w:rsidRPr="001460F7">
        <w:rPr>
          <w:rFonts w:ascii="Times New Roman" w:hAnsi="Times New Roman" w:cs="Times New Roman"/>
          <w:i/>
          <w:iCs/>
          <w:sz w:val="26"/>
          <w:szCs w:val="26"/>
        </w:rPr>
        <w:t xml:space="preserve">Báo cáo tình hình thực hiện </w:t>
      </w:r>
      <w:r w:rsidR="004D6E3A">
        <w:rPr>
          <w:rFonts w:ascii="Times New Roman" w:hAnsi="Times New Roman" w:cs="Times New Roman"/>
          <w:i/>
          <w:iCs/>
          <w:sz w:val="26"/>
          <w:szCs w:val="26"/>
        </w:rPr>
        <w:t>kinh tế - xã hội</w:t>
      </w:r>
      <w:r w:rsidR="004D6E3A" w:rsidRPr="001460F7">
        <w:rPr>
          <w:rFonts w:ascii="Times New Roman" w:hAnsi="Times New Roman" w:cs="Times New Roman"/>
          <w:i/>
          <w:iCs/>
          <w:sz w:val="26"/>
          <w:szCs w:val="26"/>
        </w:rPr>
        <w:t xml:space="preserve"> năm 2018 và kế hoạch phát triển năm 2019.</w:t>
      </w:r>
    </w:p>
    <w:p w14:paraId="156EC794" w14:textId="7B3FF852" w:rsidR="001460F7" w:rsidRDefault="001460F7" w:rsidP="001460F7">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2. HTX Nông nghiệp Quảng Thọ II</w:t>
      </w:r>
      <w:r w:rsidR="004D6E3A">
        <w:rPr>
          <w:rFonts w:ascii="Times New Roman" w:hAnsi="Times New Roman" w:cs="Times New Roman"/>
          <w:sz w:val="26"/>
          <w:szCs w:val="26"/>
        </w:rPr>
        <w:t xml:space="preserve"> (2019)</w:t>
      </w:r>
      <w:r>
        <w:rPr>
          <w:rFonts w:ascii="Times New Roman" w:hAnsi="Times New Roman" w:cs="Times New Roman"/>
          <w:sz w:val="26"/>
          <w:szCs w:val="26"/>
        </w:rPr>
        <w:t xml:space="preserve">, </w:t>
      </w:r>
      <w:r w:rsidRPr="001460F7">
        <w:rPr>
          <w:rFonts w:ascii="Times New Roman" w:hAnsi="Times New Roman" w:cs="Times New Roman"/>
          <w:i/>
          <w:iCs/>
          <w:sz w:val="26"/>
          <w:szCs w:val="26"/>
        </w:rPr>
        <w:t>Tổng kết hoạt động sản xuất</w:t>
      </w:r>
      <w:r w:rsidR="004D6E3A">
        <w:rPr>
          <w:rFonts w:ascii="Times New Roman" w:hAnsi="Times New Roman" w:cs="Times New Roman"/>
          <w:i/>
          <w:iCs/>
          <w:sz w:val="26"/>
          <w:szCs w:val="26"/>
        </w:rPr>
        <w:t>,</w:t>
      </w:r>
      <w:r w:rsidRPr="001460F7">
        <w:rPr>
          <w:rFonts w:ascii="Times New Roman" w:hAnsi="Times New Roman" w:cs="Times New Roman"/>
          <w:i/>
          <w:iCs/>
          <w:sz w:val="26"/>
          <w:szCs w:val="26"/>
        </w:rPr>
        <w:t xml:space="preserve"> kinh doanh năm 2018 và phương hướng nhiệm vụ năm 2019.</w:t>
      </w:r>
    </w:p>
    <w:p w14:paraId="6F71C91F" w14:textId="77777777" w:rsidR="004D6E3A" w:rsidRDefault="001460F7" w:rsidP="004D6E3A">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3. </w:t>
      </w:r>
      <w:r w:rsidR="004D6E3A">
        <w:rPr>
          <w:rFonts w:ascii="Times New Roman" w:hAnsi="Times New Roman" w:cs="Times New Roman"/>
          <w:sz w:val="26"/>
          <w:szCs w:val="26"/>
        </w:rPr>
        <w:t xml:space="preserve">Lê Thị Hoa Sen, Hồ Thị Hồng (2012), </w:t>
      </w:r>
      <w:r w:rsidR="004D6E3A" w:rsidRPr="001460F7">
        <w:rPr>
          <w:rFonts w:ascii="Times New Roman" w:hAnsi="Times New Roman" w:cs="Times New Roman"/>
          <w:i/>
          <w:iCs/>
          <w:sz w:val="26"/>
          <w:szCs w:val="26"/>
        </w:rPr>
        <w:t>Một số yếu tố ảnh hưởng đến sản xuất và tiêu thụ rau an toàn ở Thừa Thiên Huế,</w:t>
      </w:r>
      <w:r w:rsidR="004D6E3A">
        <w:rPr>
          <w:rFonts w:ascii="Times New Roman" w:hAnsi="Times New Roman" w:cs="Times New Roman"/>
          <w:sz w:val="26"/>
          <w:szCs w:val="26"/>
        </w:rPr>
        <w:t xml:space="preserve"> Tạp chí khoa học Đại Học Huế, tập 71, số 2.</w:t>
      </w:r>
    </w:p>
    <w:p w14:paraId="3B0A0CD1" w14:textId="061E941B" w:rsidR="001460F7" w:rsidRPr="004D6E3A" w:rsidRDefault="004D6E3A" w:rsidP="001460F7">
      <w:pPr>
        <w:spacing w:after="0" w:line="360" w:lineRule="auto"/>
        <w:ind w:firstLine="720"/>
        <w:jc w:val="both"/>
        <w:rPr>
          <w:rStyle w:val="Hyperlink"/>
          <w:rFonts w:ascii="Times New Roman" w:hAnsi="Times New Roman" w:cs="Times New Roman"/>
          <w:spacing w:val="-4"/>
        </w:rPr>
      </w:pPr>
      <w:r w:rsidRPr="004D6E3A">
        <w:rPr>
          <w:rFonts w:ascii="Times New Roman" w:hAnsi="Times New Roman" w:cs="Times New Roman"/>
          <w:spacing w:val="-4"/>
          <w:sz w:val="26"/>
          <w:szCs w:val="26"/>
        </w:rPr>
        <w:t xml:space="preserve">4. </w:t>
      </w:r>
      <w:r w:rsidR="001460F7" w:rsidRPr="004D6E3A">
        <w:rPr>
          <w:rFonts w:ascii="Times New Roman" w:hAnsi="Times New Roman" w:cs="Times New Roman"/>
          <w:spacing w:val="-4"/>
          <w:sz w:val="26"/>
          <w:szCs w:val="26"/>
        </w:rPr>
        <w:t xml:space="preserve">Phạm Thị Thanh Xuân, Nguyễn Văn Lạc (2017), </w:t>
      </w:r>
      <w:r w:rsidR="001460F7" w:rsidRPr="004D6E3A">
        <w:rPr>
          <w:rFonts w:ascii="Times New Roman" w:hAnsi="Times New Roman" w:cs="Times New Roman"/>
          <w:i/>
          <w:iCs/>
          <w:spacing w:val="-4"/>
          <w:sz w:val="26"/>
          <w:szCs w:val="26"/>
        </w:rPr>
        <w:t>Phân tích chuỗi giá trị sản phẩm rau má huyện Quảng Điền, tỉnh Thừa Thiên Huế</w:t>
      </w:r>
      <w:r w:rsidR="001460F7" w:rsidRPr="004D6E3A">
        <w:rPr>
          <w:rFonts w:ascii="Times New Roman" w:hAnsi="Times New Roman" w:cs="Times New Roman"/>
          <w:spacing w:val="-4"/>
          <w:sz w:val="26"/>
          <w:szCs w:val="26"/>
        </w:rPr>
        <w:t>, Tạp chí Khoa học Quản lý &amp; Kinh tế, số 3.</w:t>
      </w:r>
    </w:p>
    <w:p w14:paraId="6417BC0E" w14:textId="77777777" w:rsidR="002D4AB6" w:rsidRPr="00B2567C" w:rsidRDefault="002D4AB6" w:rsidP="00B2567C">
      <w:pPr>
        <w:spacing w:after="0" w:line="360" w:lineRule="auto"/>
        <w:jc w:val="both"/>
        <w:rPr>
          <w:rFonts w:ascii="Times New Roman" w:hAnsi="Times New Roman" w:cs="Times New Roman"/>
          <w:sz w:val="26"/>
          <w:szCs w:val="26"/>
        </w:rPr>
      </w:pPr>
    </w:p>
    <w:sectPr w:rsidR="002D4AB6" w:rsidRPr="00B256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FBF4D" w14:textId="77777777" w:rsidR="00813C98" w:rsidRDefault="00813C98" w:rsidP="00311286">
      <w:pPr>
        <w:spacing w:after="0" w:line="240" w:lineRule="auto"/>
      </w:pPr>
      <w:r>
        <w:separator/>
      </w:r>
    </w:p>
  </w:endnote>
  <w:endnote w:type="continuationSeparator" w:id="0">
    <w:p w14:paraId="1C9431A6" w14:textId="77777777" w:rsidR="00813C98" w:rsidRDefault="00813C98" w:rsidP="0031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063543"/>
      <w:docPartObj>
        <w:docPartGallery w:val="Page Numbers (Bottom of Page)"/>
        <w:docPartUnique/>
      </w:docPartObj>
    </w:sdtPr>
    <w:sdtEndPr>
      <w:rPr>
        <w:noProof/>
      </w:rPr>
    </w:sdtEndPr>
    <w:sdtContent>
      <w:p w14:paraId="1A79F756" w14:textId="77777777" w:rsidR="00944A19" w:rsidRDefault="00944A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25F34" w14:textId="77777777" w:rsidR="00944A19" w:rsidRDefault="0094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68DB7" w14:textId="77777777" w:rsidR="00813C98" w:rsidRDefault="00813C98" w:rsidP="00311286">
      <w:pPr>
        <w:spacing w:after="0" w:line="240" w:lineRule="auto"/>
      </w:pPr>
      <w:r>
        <w:separator/>
      </w:r>
    </w:p>
  </w:footnote>
  <w:footnote w:type="continuationSeparator" w:id="0">
    <w:p w14:paraId="3320D9F0" w14:textId="77777777" w:rsidR="00813C98" w:rsidRDefault="00813C98" w:rsidP="00311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1AE"/>
    <w:multiLevelType w:val="hybridMultilevel"/>
    <w:tmpl w:val="174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219A"/>
    <w:multiLevelType w:val="hybridMultilevel"/>
    <w:tmpl w:val="49967A76"/>
    <w:lvl w:ilvl="0" w:tplc="75EE8FA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894347"/>
    <w:multiLevelType w:val="hybridMultilevel"/>
    <w:tmpl w:val="3A24C1CA"/>
    <w:lvl w:ilvl="0" w:tplc="A8985C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11FF8"/>
    <w:multiLevelType w:val="hybridMultilevel"/>
    <w:tmpl w:val="2FE4BA92"/>
    <w:lvl w:ilvl="0" w:tplc="08B8CB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726F6"/>
    <w:multiLevelType w:val="hybridMultilevel"/>
    <w:tmpl w:val="B6B23DFA"/>
    <w:lvl w:ilvl="0" w:tplc="345C2CD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E5F87"/>
    <w:multiLevelType w:val="hybridMultilevel"/>
    <w:tmpl w:val="BE74F636"/>
    <w:lvl w:ilvl="0" w:tplc="B26C78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50A90"/>
    <w:multiLevelType w:val="hybridMultilevel"/>
    <w:tmpl w:val="BBA0590E"/>
    <w:lvl w:ilvl="0" w:tplc="EF9490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D18FC"/>
    <w:multiLevelType w:val="hybridMultilevel"/>
    <w:tmpl w:val="A9E8D60A"/>
    <w:lvl w:ilvl="0" w:tplc="67C8FD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B6"/>
    <w:rsid w:val="0000082A"/>
    <w:rsid w:val="00000D98"/>
    <w:rsid w:val="000021B8"/>
    <w:rsid w:val="00015803"/>
    <w:rsid w:val="00020DB4"/>
    <w:rsid w:val="00021DF1"/>
    <w:rsid w:val="00024232"/>
    <w:rsid w:val="0002438F"/>
    <w:rsid w:val="000443B4"/>
    <w:rsid w:val="0004575D"/>
    <w:rsid w:val="00054850"/>
    <w:rsid w:val="00054A4A"/>
    <w:rsid w:val="0005785D"/>
    <w:rsid w:val="000668FC"/>
    <w:rsid w:val="00075444"/>
    <w:rsid w:val="0007682D"/>
    <w:rsid w:val="0008300D"/>
    <w:rsid w:val="000904CF"/>
    <w:rsid w:val="00094804"/>
    <w:rsid w:val="00097222"/>
    <w:rsid w:val="000B2546"/>
    <w:rsid w:val="000D0420"/>
    <w:rsid w:val="000E286E"/>
    <w:rsid w:val="000E4A1E"/>
    <w:rsid w:val="000F04D0"/>
    <w:rsid w:val="000F0ED3"/>
    <w:rsid w:val="000F3D69"/>
    <w:rsid w:val="000F4758"/>
    <w:rsid w:val="00102061"/>
    <w:rsid w:val="00115F6C"/>
    <w:rsid w:val="00120E66"/>
    <w:rsid w:val="00134E27"/>
    <w:rsid w:val="00140C5B"/>
    <w:rsid w:val="001460F7"/>
    <w:rsid w:val="00156305"/>
    <w:rsid w:val="00157F64"/>
    <w:rsid w:val="00161EB4"/>
    <w:rsid w:val="00167EFB"/>
    <w:rsid w:val="00171818"/>
    <w:rsid w:val="00171AF2"/>
    <w:rsid w:val="00174105"/>
    <w:rsid w:val="00175702"/>
    <w:rsid w:val="00180B65"/>
    <w:rsid w:val="00191F5F"/>
    <w:rsid w:val="001A4083"/>
    <w:rsid w:val="001B5811"/>
    <w:rsid w:val="001D364D"/>
    <w:rsid w:val="001E1553"/>
    <w:rsid w:val="001F732A"/>
    <w:rsid w:val="001F7E24"/>
    <w:rsid w:val="0021089D"/>
    <w:rsid w:val="00210BF9"/>
    <w:rsid w:val="00226493"/>
    <w:rsid w:val="00227B24"/>
    <w:rsid w:val="002528DB"/>
    <w:rsid w:val="00253836"/>
    <w:rsid w:val="00254D26"/>
    <w:rsid w:val="00264F68"/>
    <w:rsid w:val="002708E1"/>
    <w:rsid w:val="002709F9"/>
    <w:rsid w:val="00272A33"/>
    <w:rsid w:val="00277F5B"/>
    <w:rsid w:val="002972E8"/>
    <w:rsid w:val="002A2DAD"/>
    <w:rsid w:val="002A3337"/>
    <w:rsid w:val="002A4D67"/>
    <w:rsid w:val="002B00F4"/>
    <w:rsid w:val="002C039D"/>
    <w:rsid w:val="002D4AB6"/>
    <w:rsid w:val="002D7A68"/>
    <w:rsid w:val="002E2C30"/>
    <w:rsid w:val="002F12D0"/>
    <w:rsid w:val="002F3F54"/>
    <w:rsid w:val="00304FA4"/>
    <w:rsid w:val="00311286"/>
    <w:rsid w:val="00334F6A"/>
    <w:rsid w:val="0034551F"/>
    <w:rsid w:val="0037559B"/>
    <w:rsid w:val="00380981"/>
    <w:rsid w:val="00390A94"/>
    <w:rsid w:val="003E1965"/>
    <w:rsid w:val="003E3AF9"/>
    <w:rsid w:val="003F055A"/>
    <w:rsid w:val="003F16B7"/>
    <w:rsid w:val="003F2AF8"/>
    <w:rsid w:val="004034D5"/>
    <w:rsid w:val="004037E2"/>
    <w:rsid w:val="00413ECE"/>
    <w:rsid w:val="00430AE2"/>
    <w:rsid w:val="00444903"/>
    <w:rsid w:val="00447A5F"/>
    <w:rsid w:val="00467B15"/>
    <w:rsid w:val="00473995"/>
    <w:rsid w:val="00476CAE"/>
    <w:rsid w:val="00483811"/>
    <w:rsid w:val="00484939"/>
    <w:rsid w:val="004854B1"/>
    <w:rsid w:val="00486EC0"/>
    <w:rsid w:val="00490A2A"/>
    <w:rsid w:val="00495B6E"/>
    <w:rsid w:val="004A4160"/>
    <w:rsid w:val="004A7B63"/>
    <w:rsid w:val="004B2738"/>
    <w:rsid w:val="004B7757"/>
    <w:rsid w:val="004C6627"/>
    <w:rsid w:val="004D2719"/>
    <w:rsid w:val="004D6E3A"/>
    <w:rsid w:val="004E301A"/>
    <w:rsid w:val="00516798"/>
    <w:rsid w:val="00536B84"/>
    <w:rsid w:val="005435EB"/>
    <w:rsid w:val="00565192"/>
    <w:rsid w:val="00567340"/>
    <w:rsid w:val="00575D09"/>
    <w:rsid w:val="00580D1E"/>
    <w:rsid w:val="00586FD7"/>
    <w:rsid w:val="0058703C"/>
    <w:rsid w:val="005A429A"/>
    <w:rsid w:val="005B2F5F"/>
    <w:rsid w:val="005B3645"/>
    <w:rsid w:val="005D0306"/>
    <w:rsid w:val="005E5380"/>
    <w:rsid w:val="005E6619"/>
    <w:rsid w:val="005F07B3"/>
    <w:rsid w:val="005F28E8"/>
    <w:rsid w:val="0061070B"/>
    <w:rsid w:val="0064496C"/>
    <w:rsid w:val="00647EF9"/>
    <w:rsid w:val="00674C83"/>
    <w:rsid w:val="006802D6"/>
    <w:rsid w:val="006866AC"/>
    <w:rsid w:val="00697B35"/>
    <w:rsid w:val="006C27BC"/>
    <w:rsid w:val="006D0D48"/>
    <w:rsid w:val="006D7D07"/>
    <w:rsid w:val="006E451C"/>
    <w:rsid w:val="00700D3C"/>
    <w:rsid w:val="00736ABD"/>
    <w:rsid w:val="00741512"/>
    <w:rsid w:val="007443F3"/>
    <w:rsid w:val="007542CE"/>
    <w:rsid w:val="0076211D"/>
    <w:rsid w:val="0077502D"/>
    <w:rsid w:val="00775692"/>
    <w:rsid w:val="007775F3"/>
    <w:rsid w:val="00792CD1"/>
    <w:rsid w:val="007961A8"/>
    <w:rsid w:val="007B3516"/>
    <w:rsid w:val="007B35FC"/>
    <w:rsid w:val="007B6124"/>
    <w:rsid w:val="007D47CA"/>
    <w:rsid w:val="007E4CA3"/>
    <w:rsid w:val="007E4E87"/>
    <w:rsid w:val="00803BDA"/>
    <w:rsid w:val="00813C98"/>
    <w:rsid w:val="00844A81"/>
    <w:rsid w:val="00847F9C"/>
    <w:rsid w:val="0086328C"/>
    <w:rsid w:val="00880FD8"/>
    <w:rsid w:val="008911B3"/>
    <w:rsid w:val="008A37F5"/>
    <w:rsid w:val="008A4300"/>
    <w:rsid w:val="008A6C1E"/>
    <w:rsid w:val="008B2122"/>
    <w:rsid w:val="008C14D0"/>
    <w:rsid w:val="008D7C67"/>
    <w:rsid w:val="008F6F0A"/>
    <w:rsid w:val="008F6F67"/>
    <w:rsid w:val="00905A26"/>
    <w:rsid w:val="00926A4A"/>
    <w:rsid w:val="00937D48"/>
    <w:rsid w:val="00941FD8"/>
    <w:rsid w:val="00944A19"/>
    <w:rsid w:val="009467B8"/>
    <w:rsid w:val="0096211D"/>
    <w:rsid w:val="00990408"/>
    <w:rsid w:val="0099315C"/>
    <w:rsid w:val="009946B8"/>
    <w:rsid w:val="009B07D1"/>
    <w:rsid w:val="009E0D17"/>
    <w:rsid w:val="009F13AB"/>
    <w:rsid w:val="009F498E"/>
    <w:rsid w:val="009F787A"/>
    <w:rsid w:val="00A061B1"/>
    <w:rsid w:val="00A14B67"/>
    <w:rsid w:val="00A17242"/>
    <w:rsid w:val="00A2044B"/>
    <w:rsid w:val="00A21ED7"/>
    <w:rsid w:val="00A22744"/>
    <w:rsid w:val="00A373EA"/>
    <w:rsid w:val="00A41C3E"/>
    <w:rsid w:val="00A52C44"/>
    <w:rsid w:val="00A747C6"/>
    <w:rsid w:val="00A76465"/>
    <w:rsid w:val="00A83B78"/>
    <w:rsid w:val="00A92658"/>
    <w:rsid w:val="00AA45AD"/>
    <w:rsid w:val="00AA559E"/>
    <w:rsid w:val="00AB6379"/>
    <w:rsid w:val="00AC270C"/>
    <w:rsid w:val="00AE0029"/>
    <w:rsid w:val="00AE2318"/>
    <w:rsid w:val="00AE2FD2"/>
    <w:rsid w:val="00AE31F7"/>
    <w:rsid w:val="00AE59DF"/>
    <w:rsid w:val="00AF1035"/>
    <w:rsid w:val="00AF3613"/>
    <w:rsid w:val="00B22187"/>
    <w:rsid w:val="00B247F4"/>
    <w:rsid w:val="00B2567C"/>
    <w:rsid w:val="00B353BF"/>
    <w:rsid w:val="00B40BC4"/>
    <w:rsid w:val="00B4560C"/>
    <w:rsid w:val="00B459E6"/>
    <w:rsid w:val="00B545BE"/>
    <w:rsid w:val="00B66F45"/>
    <w:rsid w:val="00B8176D"/>
    <w:rsid w:val="00B97CFF"/>
    <w:rsid w:val="00BE15B6"/>
    <w:rsid w:val="00BE3A56"/>
    <w:rsid w:val="00C04899"/>
    <w:rsid w:val="00C16982"/>
    <w:rsid w:val="00C23B73"/>
    <w:rsid w:val="00C41FBC"/>
    <w:rsid w:val="00C546AB"/>
    <w:rsid w:val="00C6358E"/>
    <w:rsid w:val="00C644F0"/>
    <w:rsid w:val="00C653B8"/>
    <w:rsid w:val="00C65FC9"/>
    <w:rsid w:val="00C75BCF"/>
    <w:rsid w:val="00C7677F"/>
    <w:rsid w:val="00C77E53"/>
    <w:rsid w:val="00CA350E"/>
    <w:rsid w:val="00CC0725"/>
    <w:rsid w:val="00CE0134"/>
    <w:rsid w:val="00CE15EC"/>
    <w:rsid w:val="00CE21F0"/>
    <w:rsid w:val="00D16213"/>
    <w:rsid w:val="00D16276"/>
    <w:rsid w:val="00D213FA"/>
    <w:rsid w:val="00D24966"/>
    <w:rsid w:val="00D270F1"/>
    <w:rsid w:val="00D34292"/>
    <w:rsid w:val="00D368FB"/>
    <w:rsid w:val="00D42447"/>
    <w:rsid w:val="00D435C6"/>
    <w:rsid w:val="00D43EA5"/>
    <w:rsid w:val="00D44219"/>
    <w:rsid w:val="00D56B5F"/>
    <w:rsid w:val="00D92F4E"/>
    <w:rsid w:val="00DA058C"/>
    <w:rsid w:val="00DA0CAA"/>
    <w:rsid w:val="00DA4A09"/>
    <w:rsid w:val="00DA7BC9"/>
    <w:rsid w:val="00DB47C0"/>
    <w:rsid w:val="00DC3FE1"/>
    <w:rsid w:val="00DD34B3"/>
    <w:rsid w:val="00DF0467"/>
    <w:rsid w:val="00DF492A"/>
    <w:rsid w:val="00DF630B"/>
    <w:rsid w:val="00E14708"/>
    <w:rsid w:val="00E32A96"/>
    <w:rsid w:val="00E3772B"/>
    <w:rsid w:val="00E51C0D"/>
    <w:rsid w:val="00E60165"/>
    <w:rsid w:val="00E748E5"/>
    <w:rsid w:val="00EA6B00"/>
    <w:rsid w:val="00EA6B37"/>
    <w:rsid w:val="00EA7004"/>
    <w:rsid w:val="00EB7ABB"/>
    <w:rsid w:val="00EC2EE5"/>
    <w:rsid w:val="00EC3959"/>
    <w:rsid w:val="00EE10C5"/>
    <w:rsid w:val="00EE2C0D"/>
    <w:rsid w:val="00EE30C2"/>
    <w:rsid w:val="00EE5D30"/>
    <w:rsid w:val="00EE7025"/>
    <w:rsid w:val="00EF0264"/>
    <w:rsid w:val="00F014C0"/>
    <w:rsid w:val="00F02FEB"/>
    <w:rsid w:val="00F03B8C"/>
    <w:rsid w:val="00F058FA"/>
    <w:rsid w:val="00F05926"/>
    <w:rsid w:val="00F07400"/>
    <w:rsid w:val="00F111EB"/>
    <w:rsid w:val="00F11CC5"/>
    <w:rsid w:val="00F333AB"/>
    <w:rsid w:val="00F36184"/>
    <w:rsid w:val="00F406C0"/>
    <w:rsid w:val="00F41F45"/>
    <w:rsid w:val="00F54530"/>
    <w:rsid w:val="00F63B64"/>
    <w:rsid w:val="00F66E77"/>
    <w:rsid w:val="00F73C78"/>
    <w:rsid w:val="00F835D0"/>
    <w:rsid w:val="00FA08E5"/>
    <w:rsid w:val="00FA3DC4"/>
    <w:rsid w:val="00FA6FAA"/>
    <w:rsid w:val="00FD0248"/>
    <w:rsid w:val="00FE2FF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8DE5"/>
  <w15:chartTrackingRefBased/>
  <w15:docId w15:val="{A8772B6C-CAC6-4995-96C5-7512D1A1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B6"/>
    <w:pPr>
      <w:ind w:left="720"/>
      <w:contextualSpacing/>
    </w:pPr>
  </w:style>
  <w:style w:type="paragraph" w:styleId="BodyText">
    <w:name w:val="Body Text"/>
    <w:basedOn w:val="Normal"/>
    <w:link w:val="BodyTextChar"/>
    <w:uiPriority w:val="1"/>
    <w:qFormat/>
    <w:rsid w:val="007B35FC"/>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7B35FC"/>
    <w:rPr>
      <w:rFonts w:ascii="Times New Roman" w:eastAsia="Times New Roman" w:hAnsi="Times New Roman" w:cs="Times New Roman"/>
      <w:sz w:val="26"/>
      <w:szCs w:val="26"/>
    </w:rPr>
  </w:style>
  <w:style w:type="character" w:styleId="Hyperlink">
    <w:name w:val="Hyperlink"/>
    <w:basedOn w:val="DefaultParagraphFont"/>
    <w:uiPriority w:val="99"/>
    <w:unhideWhenUsed/>
    <w:rsid w:val="002A4D67"/>
    <w:rPr>
      <w:color w:val="0000FF"/>
      <w:u w:val="single"/>
    </w:rPr>
  </w:style>
  <w:style w:type="character" w:styleId="UnresolvedMention">
    <w:name w:val="Unresolved Mention"/>
    <w:basedOn w:val="DefaultParagraphFont"/>
    <w:uiPriority w:val="99"/>
    <w:semiHidden/>
    <w:unhideWhenUsed/>
    <w:rsid w:val="002A4D67"/>
    <w:rPr>
      <w:color w:val="605E5C"/>
      <w:shd w:val="clear" w:color="auto" w:fill="E1DFDD"/>
    </w:rPr>
  </w:style>
  <w:style w:type="table" w:styleId="TableGrid">
    <w:name w:val="Table Grid"/>
    <w:basedOn w:val="TableNormal"/>
    <w:uiPriority w:val="39"/>
    <w:rsid w:val="00FA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286"/>
  </w:style>
  <w:style w:type="paragraph" w:styleId="Footer">
    <w:name w:val="footer"/>
    <w:basedOn w:val="Normal"/>
    <w:link w:val="FooterChar"/>
    <w:uiPriority w:val="99"/>
    <w:unhideWhenUsed/>
    <w:rsid w:val="0031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286"/>
  </w:style>
  <w:style w:type="paragraph" w:styleId="BalloonText">
    <w:name w:val="Balloon Text"/>
    <w:basedOn w:val="Normal"/>
    <w:link w:val="BalloonTextChar"/>
    <w:uiPriority w:val="99"/>
    <w:semiHidden/>
    <w:unhideWhenUsed/>
    <w:rsid w:val="0094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68EF-FB19-4AA4-9527-209502C6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9</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164</cp:revision>
  <cp:lastPrinted>2020-03-16T08:03:00Z</cp:lastPrinted>
  <dcterms:created xsi:type="dcterms:W3CDTF">2019-09-29T07:57:00Z</dcterms:created>
  <dcterms:modified xsi:type="dcterms:W3CDTF">2020-08-04T09:19:00Z</dcterms:modified>
</cp:coreProperties>
</file>