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FA680" w14:textId="77777777" w:rsidR="00B93EFD" w:rsidRPr="00C21643" w:rsidRDefault="00B93EFD" w:rsidP="00C21643">
      <w:pPr>
        <w:widowControl w:val="0"/>
        <w:tabs>
          <w:tab w:val="left" w:pos="720"/>
        </w:tabs>
        <w:suppressAutoHyphens/>
        <w:autoSpaceDE w:val="0"/>
        <w:autoSpaceDN w:val="0"/>
        <w:adjustRightInd w:val="0"/>
        <w:spacing w:before="120" w:after="60" w:line="276" w:lineRule="auto"/>
        <w:jc w:val="both"/>
        <w:outlineLvl w:val="0"/>
        <w:rPr>
          <w:rFonts w:ascii="Palatino Linotype" w:eastAsia="Times New Roman" w:hAnsi="Palatino Linotype" w:cs="Times New Roman"/>
          <w:b/>
          <w:bCs/>
          <w:noProof/>
          <w:color w:val="000000"/>
          <w:szCs w:val="28"/>
        </w:rPr>
      </w:pPr>
      <w:bookmarkStart w:id="0" w:name="_Toc509044911"/>
    </w:p>
    <w:bookmarkEnd w:id="0"/>
    <w:p w14:paraId="649779EF" w14:textId="77777777" w:rsidR="00C21643" w:rsidRDefault="00C21643" w:rsidP="00C21643">
      <w:pPr>
        <w:spacing w:after="0" w:line="276" w:lineRule="auto"/>
        <w:jc w:val="center"/>
        <w:rPr>
          <w:rFonts w:ascii="Palatino Linotype" w:hAnsi="Palatino Linotype" w:cs="Times New Roman"/>
          <w:b/>
          <w:szCs w:val="28"/>
        </w:rPr>
      </w:pPr>
    </w:p>
    <w:p w14:paraId="375DBD37" w14:textId="77777777" w:rsidR="00C21643" w:rsidRPr="00C21643" w:rsidRDefault="00C21643" w:rsidP="00C21643">
      <w:pPr>
        <w:spacing w:after="0" w:line="276" w:lineRule="auto"/>
        <w:jc w:val="center"/>
        <w:rPr>
          <w:rFonts w:ascii="Palatino Linotype" w:hAnsi="Palatino Linotype" w:cs="Times New Roman"/>
          <w:b/>
          <w:szCs w:val="28"/>
        </w:rPr>
      </w:pPr>
      <w:r w:rsidRPr="00C21643">
        <w:rPr>
          <w:rFonts w:ascii="Palatino Linotype" w:hAnsi="Palatino Linotype" w:cs="Times New Roman"/>
          <w:b/>
          <w:szCs w:val="28"/>
        </w:rPr>
        <w:t xml:space="preserve">XÂY DỰNG BỘ TIÊU CHÍ ĐỂ </w:t>
      </w:r>
    </w:p>
    <w:p w14:paraId="400DC058" w14:textId="77777777" w:rsidR="00C21643" w:rsidRPr="00C21643" w:rsidRDefault="00C21643" w:rsidP="00C21643">
      <w:pPr>
        <w:spacing w:after="0" w:line="276" w:lineRule="auto"/>
        <w:jc w:val="center"/>
        <w:rPr>
          <w:rFonts w:ascii="Palatino Linotype" w:hAnsi="Palatino Linotype" w:cs="Times New Roman"/>
          <w:b/>
          <w:szCs w:val="28"/>
        </w:rPr>
      </w:pPr>
      <w:r w:rsidRPr="00C21643">
        <w:rPr>
          <w:rFonts w:ascii="Palatino Linotype" w:hAnsi="Palatino Linotype" w:cs="Times New Roman"/>
          <w:b/>
          <w:szCs w:val="28"/>
        </w:rPr>
        <w:t xml:space="preserve">ĐO LƯỜNG KỸ NĂNG ĐÁNH GIÁ QUÁ TRÌNH CHO </w:t>
      </w:r>
    </w:p>
    <w:p w14:paraId="4C2E2634" w14:textId="630E4E39" w:rsidR="00C21643" w:rsidRPr="00C21643" w:rsidRDefault="00C21643" w:rsidP="00C21643">
      <w:pPr>
        <w:spacing w:after="0" w:line="276" w:lineRule="auto"/>
        <w:jc w:val="center"/>
        <w:rPr>
          <w:rFonts w:ascii="Palatino Linotype" w:hAnsi="Palatino Linotype" w:cs="Times New Roman"/>
          <w:b/>
          <w:szCs w:val="28"/>
        </w:rPr>
      </w:pPr>
      <w:r w:rsidRPr="00C21643">
        <w:rPr>
          <w:rFonts w:ascii="Palatino Linotype" w:hAnsi="Palatino Linotype" w:cs="Times New Roman"/>
          <w:b/>
          <w:szCs w:val="28"/>
        </w:rPr>
        <w:t>SINH VIÊN NGÀNH SƯ PHẠM SINH HỌC</w:t>
      </w:r>
    </w:p>
    <w:p w14:paraId="525DF115" w14:textId="4643D42C" w:rsidR="00C21643" w:rsidRPr="00C21643" w:rsidRDefault="00C21643" w:rsidP="00C21643">
      <w:pPr>
        <w:spacing w:before="120" w:after="0" w:line="276" w:lineRule="auto"/>
        <w:jc w:val="center"/>
        <w:rPr>
          <w:rFonts w:ascii="Palatino Linotype" w:hAnsi="Palatino Linotype" w:cs="Times New Roman"/>
          <w:sz w:val="20"/>
          <w:szCs w:val="20"/>
        </w:rPr>
      </w:pPr>
      <w:r w:rsidRPr="00C21643">
        <w:rPr>
          <w:rFonts w:ascii="Palatino Linotype" w:hAnsi="Palatino Linotype" w:cs="Times New Roman"/>
          <w:b/>
          <w:sz w:val="20"/>
          <w:szCs w:val="20"/>
        </w:rPr>
        <w:t>Nguyễn Thị Hải Yến</w:t>
      </w:r>
      <w:r w:rsidRPr="00C21643">
        <w:rPr>
          <w:rFonts w:ascii="Palatino Linotype" w:hAnsi="Palatino Linotype" w:cs="Times New Roman"/>
          <w:sz w:val="20"/>
          <w:szCs w:val="20"/>
        </w:rPr>
        <w:t xml:space="preserve">, </w:t>
      </w:r>
      <w:r w:rsidRPr="00C21643">
        <w:rPr>
          <w:rFonts w:ascii="Palatino Linotype" w:hAnsi="Palatino Linotype" w:cs="Times New Roman"/>
          <w:b/>
          <w:sz w:val="20"/>
          <w:szCs w:val="20"/>
        </w:rPr>
        <w:t>Ngô Thị Hoàng Vân</w:t>
      </w:r>
    </w:p>
    <w:p w14:paraId="5788AE0B" w14:textId="332F70BB" w:rsidR="00C21643" w:rsidRPr="00C21643" w:rsidRDefault="00C21643" w:rsidP="00C21643">
      <w:pPr>
        <w:spacing w:after="0" w:line="276" w:lineRule="auto"/>
        <w:jc w:val="center"/>
        <w:rPr>
          <w:rFonts w:ascii="Palatino Linotype" w:hAnsi="Palatino Linotype" w:cs="Times New Roman"/>
          <w:sz w:val="20"/>
          <w:szCs w:val="20"/>
        </w:rPr>
      </w:pPr>
      <w:r w:rsidRPr="00C21643">
        <w:rPr>
          <w:rFonts w:ascii="Palatino Linotype" w:hAnsi="Palatino Linotype" w:cs="Times New Roman"/>
          <w:sz w:val="20"/>
          <w:szCs w:val="20"/>
        </w:rPr>
        <w:t>Trường Đại học Sư phạm, Đại học Đà Nẵng</w:t>
      </w:r>
    </w:p>
    <w:p w14:paraId="0C3240DB" w14:textId="4CCDB5FA" w:rsidR="00C21643" w:rsidRPr="00C21643" w:rsidRDefault="00C21643" w:rsidP="00C21643">
      <w:pPr>
        <w:spacing w:after="0" w:line="276" w:lineRule="auto"/>
        <w:jc w:val="center"/>
        <w:rPr>
          <w:rFonts w:ascii="Palatino Linotype" w:hAnsi="Palatino Linotype" w:cs="Times New Roman"/>
          <w:b/>
          <w:sz w:val="20"/>
          <w:szCs w:val="20"/>
        </w:rPr>
      </w:pPr>
      <w:r w:rsidRPr="00C21643">
        <w:rPr>
          <w:rFonts w:ascii="Palatino Linotype" w:hAnsi="Palatino Linotype" w:cs="Times New Roman"/>
          <w:b/>
          <w:sz w:val="20"/>
          <w:szCs w:val="20"/>
        </w:rPr>
        <w:t>Phan Đứ</w:t>
      </w:r>
      <w:r w:rsidRPr="00C21643">
        <w:rPr>
          <w:rFonts w:ascii="Palatino Linotype" w:hAnsi="Palatino Linotype" w:cs="Times New Roman"/>
          <w:b/>
          <w:sz w:val="20"/>
          <w:szCs w:val="20"/>
        </w:rPr>
        <w:t>c Duy*</w:t>
      </w:r>
    </w:p>
    <w:p w14:paraId="0AFD8553" w14:textId="3E047A1E" w:rsidR="00C21643" w:rsidRPr="00C21643" w:rsidRDefault="00C21643" w:rsidP="00C21643">
      <w:pPr>
        <w:spacing w:after="0" w:line="276" w:lineRule="auto"/>
        <w:jc w:val="center"/>
        <w:rPr>
          <w:rFonts w:ascii="Palatino Linotype" w:hAnsi="Palatino Linotype" w:cs="Times New Roman"/>
          <w:sz w:val="20"/>
          <w:szCs w:val="20"/>
        </w:rPr>
      </w:pPr>
      <w:r w:rsidRPr="00C21643">
        <w:rPr>
          <w:rFonts w:ascii="Palatino Linotype" w:hAnsi="Palatino Linotype" w:cs="Times New Roman"/>
          <w:sz w:val="20"/>
          <w:szCs w:val="20"/>
        </w:rPr>
        <w:t>Trường Đại học Sư phạm, Đại học Huế</w:t>
      </w:r>
      <w:r w:rsidRPr="00C21643">
        <w:rPr>
          <w:rFonts w:ascii="Palatino Linotype" w:hAnsi="Palatino Linotype" w:cs="Times New Roman"/>
          <w:sz w:val="20"/>
          <w:szCs w:val="20"/>
        </w:rPr>
        <w:t>, 32 Lê Lợi, tp. Huế Việt Nam</w:t>
      </w:r>
    </w:p>
    <w:p w14:paraId="2BF61619" w14:textId="77777777" w:rsidR="001A2B1D" w:rsidRPr="00C21643" w:rsidRDefault="001A2B1D" w:rsidP="00C21643">
      <w:pPr>
        <w:spacing w:after="0" w:line="276" w:lineRule="auto"/>
        <w:jc w:val="both"/>
        <w:rPr>
          <w:rFonts w:ascii="Palatino Linotype" w:eastAsia="Times New Roman" w:hAnsi="Palatino Linotype" w:cs="Times New Roman"/>
          <w:b/>
          <w:bCs/>
          <w:color w:val="000000"/>
          <w:sz w:val="18"/>
          <w:szCs w:val="18"/>
        </w:rPr>
      </w:pPr>
    </w:p>
    <w:p w14:paraId="222DB23F" w14:textId="77777777" w:rsidR="00C21643" w:rsidRDefault="00C21643" w:rsidP="00C21643">
      <w:pPr>
        <w:spacing w:before="120" w:after="60" w:line="276" w:lineRule="auto"/>
        <w:jc w:val="both"/>
        <w:rPr>
          <w:rFonts w:ascii="Palatino Linotype" w:hAnsi="Palatino Linotype"/>
          <w:b/>
          <w:sz w:val="18"/>
          <w:szCs w:val="18"/>
        </w:rPr>
      </w:pPr>
    </w:p>
    <w:p w14:paraId="489922D5" w14:textId="77777777" w:rsidR="00C21643" w:rsidRPr="00C21643" w:rsidRDefault="004B095A" w:rsidP="00C21643">
      <w:pPr>
        <w:spacing w:before="120" w:after="60" w:line="276" w:lineRule="auto"/>
        <w:jc w:val="both"/>
        <w:rPr>
          <w:rFonts w:ascii="Palatino Linotype" w:hAnsi="Palatino Linotype" w:cs="Times New Roman"/>
          <w:sz w:val="18"/>
          <w:szCs w:val="18"/>
        </w:rPr>
      </w:pPr>
      <w:r w:rsidRPr="00C21643">
        <w:rPr>
          <w:rFonts w:ascii="Palatino Linotype" w:hAnsi="Palatino Linotype"/>
          <w:b/>
          <w:sz w:val="18"/>
          <w:szCs w:val="18"/>
        </w:rPr>
        <w:t>Tóm tắt:</w:t>
      </w:r>
      <w:r w:rsidRPr="00C21643">
        <w:rPr>
          <w:rFonts w:ascii="Palatino Linotype" w:hAnsi="Palatino Linotype"/>
          <w:sz w:val="20"/>
          <w:szCs w:val="20"/>
        </w:rPr>
        <w:t xml:space="preserve"> </w:t>
      </w:r>
      <w:r w:rsidR="00C21643" w:rsidRPr="00C21643">
        <w:rPr>
          <w:rFonts w:ascii="Palatino Linotype" w:hAnsi="Palatino Linotype" w:cs="Times New Roman"/>
          <w:sz w:val="18"/>
          <w:szCs w:val="18"/>
        </w:rPr>
        <w:t xml:space="preserve">Phát triển kĩ năng đánh giá quá trình cho sinh viên (SV) sư phạm là cần thiết trong xu hướng đổi mới dạy học </w:t>
      </w:r>
      <w:proofErr w:type="gramStart"/>
      <w:r w:rsidR="00C21643" w:rsidRPr="00C21643">
        <w:rPr>
          <w:rFonts w:ascii="Palatino Linotype" w:hAnsi="Palatino Linotype" w:cs="Times New Roman"/>
          <w:sz w:val="18"/>
          <w:szCs w:val="18"/>
        </w:rPr>
        <w:t>theo</w:t>
      </w:r>
      <w:proofErr w:type="gramEnd"/>
      <w:r w:rsidR="00C21643" w:rsidRPr="00C21643">
        <w:rPr>
          <w:rFonts w:ascii="Palatino Linotype" w:hAnsi="Palatino Linotype" w:cs="Times New Roman"/>
          <w:sz w:val="18"/>
          <w:szCs w:val="18"/>
        </w:rPr>
        <w:t xml:space="preserve"> tiếp cận năng lực hiện nay. Bài báo này trình bày cách thức và kết quả xây dựng bộ tiêu chí nhằm đo lường kĩ năng đánh giá quá trình cho SV ngành sư phạm Sinh học. Bộ tiêu chí được thiết lập dựa trên việc phân tích cấu trúc thành phần của kỹ năng đánh giá quá trình và được mô tả chi tiết về chỉ số hành </w:t>
      </w:r>
      <w:proofErr w:type="gramStart"/>
      <w:r w:rsidR="00C21643" w:rsidRPr="00C21643">
        <w:rPr>
          <w:rFonts w:ascii="Palatino Linotype" w:hAnsi="Palatino Linotype" w:cs="Times New Roman"/>
          <w:sz w:val="18"/>
          <w:szCs w:val="18"/>
        </w:rPr>
        <w:t>vi</w:t>
      </w:r>
      <w:proofErr w:type="gramEnd"/>
      <w:r w:rsidR="00C21643" w:rsidRPr="00C21643">
        <w:rPr>
          <w:rFonts w:ascii="Palatino Linotype" w:hAnsi="Palatino Linotype" w:cs="Times New Roman"/>
          <w:sz w:val="18"/>
          <w:szCs w:val="18"/>
        </w:rPr>
        <w:t xml:space="preserve"> theo 03 mức độ của thang đo: Sơ khởi; Có kỹ năng, Thành thạo. Bộ tiêu chí được xây dựng theo hướng tiếp cận này có thể giúp xác định được vị trí của SV trên đường phát triển, tạo thuận lợi cho sự phát triển kỹ năng đánh giá qúa trình của SV tại các trường sư phạm nói chung và SV ngành sư phạm Sinh học nói riêng.</w:t>
      </w:r>
    </w:p>
    <w:p w14:paraId="35DA242A" w14:textId="77777777" w:rsidR="00C21643" w:rsidRPr="00C21643" w:rsidRDefault="00C21643" w:rsidP="00C21643">
      <w:pPr>
        <w:spacing w:before="120" w:after="60" w:line="276" w:lineRule="auto"/>
        <w:jc w:val="both"/>
        <w:rPr>
          <w:rFonts w:ascii="Palatino Linotype" w:hAnsi="Palatino Linotype" w:cs="Times New Roman"/>
          <w:b/>
          <w:sz w:val="18"/>
          <w:szCs w:val="18"/>
        </w:rPr>
      </w:pPr>
      <w:r w:rsidRPr="00C21643">
        <w:rPr>
          <w:rFonts w:ascii="Palatino Linotype" w:hAnsi="Palatino Linotype" w:cs="Times New Roman"/>
          <w:b/>
          <w:sz w:val="18"/>
          <w:szCs w:val="18"/>
        </w:rPr>
        <w:t xml:space="preserve">Từ khóa: </w:t>
      </w:r>
      <w:r w:rsidRPr="00C21643">
        <w:rPr>
          <w:rFonts w:ascii="Palatino Linotype" w:hAnsi="Palatino Linotype" w:cs="Times New Roman"/>
          <w:sz w:val="18"/>
          <w:szCs w:val="18"/>
        </w:rPr>
        <w:t>ĐG quá trình, kỹ năng ĐG quá trình, SV sư phạm Sinh học, tiêu chí ĐG</w:t>
      </w:r>
    </w:p>
    <w:p w14:paraId="5DE8F23C" w14:textId="77777777" w:rsidR="00C21643" w:rsidRPr="00C21643" w:rsidRDefault="00C21643" w:rsidP="00C21643">
      <w:pPr>
        <w:spacing w:before="360" w:after="240" w:line="276" w:lineRule="auto"/>
        <w:jc w:val="both"/>
        <w:rPr>
          <w:rFonts w:ascii="Palatino Linotype" w:hAnsi="Palatino Linotype" w:cs="Times New Roman"/>
          <w:b/>
          <w:sz w:val="24"/>
          <w:szCs w:val="24"/>
        </w:rPr>
      </w:pPr>
      <w:r w:rsidRPr="00C21643">
        <w:rPr>
          <w:rFonts w:ascii="Palatino Linotype" w:hAnsi="Palatino Linotype" w:cs="Times New Roman"/>
          <w:b/>
          <w:sz w:val="24"/>
          <w:szCs w:val="24"/>
        </w:rPr>
        <w:t>1. Đặt vấn đề</w:t>
      </w:r>
    </w:p>
    <w:p w14:paraId="4CA1C9CD"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ab/>
      </w:r>
      <w:r w:rsidRPr="00C21643">
        <w:rPr>
          <w:rFonts w:ascii="Palatino Linotype" w:hAnsi="Palatino Linotype" w:cs="Times New Roman"/>
          <w:sz w:val="20"/>
          <w:szCs w:val="20"/>
        </w:rPr>
        <w:t xml:space="preserve">ĐG quá trình (ĐGQT) là loại hình đánh giá (ĐG) được thực hiện trong suốt quá trình dạy học với mục đích thu thập thông tin phản hồi để cải thiện chất lượng dạy và học </w:t>
      </w:r>
      <w:r w:rsidRPr="00C21643">
        <w:rPr>
          <w:rFonts w:ascii="Palatino Linotype" w:hAnsi="Palatino Linotype" w:cs="Times New Roman"/>
          <w:sz w:val="20"/>
          <w:szCs w:val="20"/>
        </w:rPr>
        <w:fldChar w:fldCharType="begin" w:fldLock="1"/>
      </w:r>
      <w:r w:rsidRPr="00C21643">
        <w:rPr>
          <w:rFonts w:ascii="Palatino Linotype" w:hAnsi="Palatino Linotype" w:cs="Times New Roman"/>
          <w:sz w:val="20"/>
          <w:szCs w:val="20"/>
        </w:rPr>
        <w:instrText>ADDIN CSL_CITATION {"citationItems":[{"id":"ITEM-1","itemData":{"DOI":"10.1080/0969595980050102","ISBN":"0969-594X","abstract":"ABSTRACT This article is a review of the literature on classroom formative assessment. Several studies show firm evidence that innovations designed to strengthen the frequent feedback that students receive about their learning yield substantial learning gains. The perceptions of students and their role in self?assessment are considered alongside analysis of the strategies used by teachers and the formative strategies incorporated in such systemic approaches as mastery learning. There follows a more detailed and theoretical analysis of the nature of feedback, which provides a basis for a discussion of the development of theoretical models for formative assessment and of the prospects for the improvement of practice.","author":[{"dropping-particle":"","family":"Black","given":"Paul","non-dropping-particle":"","parse-names":false,"suffix":""},{"dropping-particle":"","family":"Wiliam","given":"Dylan","non-dropping-particle":"","parse-names":false,"suffix":""}],"container-title":"Assessment in Education: Principles, Policy &amp; Practice","id":"ITEM-1","issue":"1","issued":{"date-parts":[["1998"]]},"language":"en","page":"7-74","publisher":"Routledge","title":"Assessment and Classroom Learning","type":"article-journal","volume":"5"},"uris":["http://www.mendeley.com/documents/?uuid=9adba36c-8d66-40bb-90b2-4fc51cf20883"]},{"id":"ITEM-2","itemData":{"ISBN":"1098-237X","author":[{"dropping-particle":"","family":"Bell","given":"Beverley","non-dropping-particle":"","parse-names":false,"suffix":""},{"dropping-particle":"","family":"Cowie","given":"Bronwen","non-dropping-particle":"","parse-names":false,"suffix":""}],"container-title":"Science education","id":"ITEM-2","issue":"5","issued":{"date-parts":[["2001"]]},"language":"en","page":"536-553","title":"The characteristics of formative assessment in science education","type":"article-journal","volume":"85"},"uris":["http://www.mendeley.com/documents/?uuid=2a411637-fc7d-427d-9125-dced2d0b98ed"]}],"mendeley":{"formattedCitation":"[1], [2]","plainTextFormattedCitation":"[1], [2]","previouslyFormattedCitation":"(Bell &amp; Cowie, 2001; Paul Black &amp; Wiliam, 1998)"},"properties":{"noteIndex":0},"schema":"https://github.com/citation-style-language/schema/raw/master/csl-citation.json"}</w:instrText>
      </w:r>
      <w:r w:rsidRPr="00C21643">
        <w:rPr>
          <w:rFonts w:ascii="Palatino Linotype" w:hAnsi="Palatino Linotype" w:cs="Times New Roman"/>
          <w:sz w:val="20"/>
          <w:szCs w:val="20"/>
        </w:rPr>
        <w:fldChar w:fldCharType="separate"/>
      </w:r>
      <w:r w:rsidRPr="00C21643">
        <w:rPr>
          <w:rFonts w:ascii="Palatino Linotype" w:hAnsi="Palatino Linotype" w:cs="Times New Roman"/>
          <w:noProof/>
          <w:sz w:val="20"/>
          <w:szCs w:val="20"/>
        </w:rPr>
        <w:t>[1], [2]</w:t>
      </w:r>
      <w:r w:rsidRPr="00C21643">
        <w:rPr>
          <w:rFonts w:ascii="Palatino Linotype" w:hAnsi="Palatino Linotype" w:cs="Times New Roman"/>
          <w:sz w:val="20"/>
          <w:szCs w:val="20"/>
        </w:rPr>
        <w:fldChar w:fldCharType="end"/>
      </w:r>
      <w:r w:rsidRPr="00C21643">
        <w:rPr>
          <w:rFonts w:ascii="Palatino Linotype" w:hAnsi="Palatino Linotype" w:cs="Times New Roman"/>
          <w:sz w:val="20"/>
          <w:szCs w:val="20"/>
        </w:rPr>
        <w:t xml:space="preserve">.  Bản chất của ĐGQT là tạo ra hệ thống thông tin phản hồi thể hiện khoảng cách giữa trình độ hiện tại của người học với mục tiêu kì vọng, từ đó giúp người dạy và người học điều chỉnh, cải thiện quá trình dạy – học để đạt được mục tiêu đề ra </w:t>
      </w:r>
      <w:r w:rsidRPr="00C21643">
        <w:rPr>
          <w:rFonts w:ascii="Palatino Linotype" w:hAnsi="Palatino Linotype" w:cs="Times New Roman"/>
          <w:sz w:val="20"/>
          <w:szCs w:val="20"/>
        </w:rPr>
        <w:fldChar w:fldCharType="begin" w:fldLock="1"/>
      </w:r>
      <w:r w:rsidRPr="00C21643">
        <w:rPr>
          <w:rFonts w:ascii="Palatino Linotype" w:hAnsi="Palatino Linotype" w:cs="Times New Roman"/>
          <w:sz w:val="20"/>
          <w:szCs w:val="20"/>
        </w:rPr>
        <w:instrText>ADDIN CSL_CITATION {"citationItems":[{"id":"ITEM-1","itemData":{"ISBN":"0020-4277","author":[{"dropping-particle":"","family":"Sadler","given":"D Royce","non-dropping-particle":"","parse-names":false,"suffix":""}],"container-title":"Instructional science","id":"ITEM-1","issue":"2","issued":{"date-parts":[["1989"]]},"language":"en","page":"119-144","title":"Formative assessment and the design of instructional systems","type":"article-journal","volume":"18"},"uris":["http://www.mendeley.com/documents/?uuid=59fb4697-5ee8-493b-9680-1b51b7cbb022"]}],"mendeley":{"formattedCitation":"[3]","plainTextFormattedCitation":"[3]","previouslyFormattedCitation":"(Sadler, 1989)"},"properties":{"noteIndex":0},"schema":"https://github.com/citation-style-language/schema/raw/master/csl-citation.json"}</w:instrText>
      </w:r>
      <w:r w:rsidRPr="00C21643">
        <w:rPr>
          <w:rFonts w:ascii="Palatino Linotype" w:hAnsi="Palatino Linotype" w:cs="Times New Roman"/>
          <w:sz w:val="20"/>
          <w:szCs w:val="20"/>
        </w:rPr>
        <w:fldChar w:fldCharType="separate"/>
      </w:r>
      <w:r w:rsidRPr="00C21643">
        <w:rPr>
          <w:rFonts w:ascii="Palatino Linotype" w:hAnsi="Palatino Linotype" w:cs="Times New Roman"/>
          <w:noProof/>
          <w:sz w:val="20"/>
          <w:szCs w:val="20"/>
        </w:rPr>
        <w:t>[3]</w:t>
      </w:r>
      <w:r w:rsidRPr="00C21643">
        <w:rPr>
          <w:rFonts w:ascii="Palatino Linotype" w:hAnsi="Palatino Linotype" w:cs="Times New Roman"/>
          <w:sz w:val="20"/>
          <w:szCs w:val="20"/>
        </w:rPr>
        <w:fldChar w:fldCharType="end"/>
      </w:r>
      <w:r w:rsidRPr="00C21643">
        <w:rPr>
          <w:rFonts w:ascii="Palatino Linotype" w:hAnsi="Palatino Linotype" w:cs="Times New Roman"/>
          <w:sz w:val="20"/>
          <w:szCs w:val="20"/>
        </w:rPr>
        <w:t xml:space="preserve">. Rất nhiều nghiên cứu đã khẳng định vai trò rất lớn của ĐG quá trình trong việc tạo ra động lực và cải thiện chất lượng dạy – học trong thực tiễn </w:t>
      </w:r>
      <w:r w:rsidRPr="00C21643">
        <w:rPr>
          <w:rFonts w:ascii="Palatino Linotype" w:hAnsi="Palatino Linotype" w:cs="Times New Roman"/>
          <w:sz w:val="20"/>
          <w:szCs w:val="20"/>
        </w:rPr>
        <w:fldChar w:fldCharType="begin" w:fldLock="1"/>
      </w:r>
      <w:r w:rsidRPr="00C21643">
        <w:rPr>
          <w:rFonts w:ascii="Palatino Linotype" w:hAnsi="Palatino Linotype" w:cs="Times New Roman"/>
          <w:sz w:val="20"/>
          <w:szCs w:val="20"/>
        </w:rPr>
        <w:instrText>ADDIN CSL_CITATION {"citationItems":[{"id":"ITEM-1","itemData":{"DOI":"10.1080/0969595980050102","ISBN":"0969-594X","abstract":"ABSTRACT This article is a review of the literature on classroom formative assessment. Several studies show firm evidence that innovations designed to strengthen the frequent feedback that students receive about their learning yield substantial learning gains. The perceptions of students and their role in self?assessment are considered alongside analysis of the strategies used by teachers and the formative strategies incorporated in such systemic approaches as mastery learning. There follows a more detailed and theoretical analysis of the nature of feedback, which provides a basis for a discussion of the development of theoretical models for formative assessment and of the prospects for the improvement of practice.","author":[{"dropping-particle":"","family":"Black","given":"Paul","non-dropping-particle":"","parse-names":false,"suffix":""},{"dropping-particle":"","family":"Wiliam","given":"Dylan","non-dropping-particle":"","parse-names":false,"suffix":""}],"container-title":"Assessment in Education: Principles, Policy &amp; Practice","id":"ITEM-1","issue":"1","issued":{"date-parts":[["1998"]]},"language":"en","page":"7-74","publisher":"Routledge","title":"Assessment and Classroom Learning","type":"article-journal","volume":"5"},"uris":["http://www.mendeley.com/documents/?uuid=9adba36c-8d66-40bb-90b2-4fc51cf20883"]},{"id":"ITEM-2","itemData":{"ISBN":"0920-525X","author":[{"dropping-particle":"","family":"Brookhart","given":"Susan M","non-dropping-particle":"","parse-names":false,"suffix":""},{"dropping-particle":"","family":"Loadman","given":"William E","non-dropping-particle":"","parse-names":false,"suffix":""}],"container-title":"Journal of personnel Evaluation in Education","id":"ITEM-2","issue":"4","issued":{"date-parts":[["1992"]]},"language":"en","page":"347-357","title":"Teacher assessment and validity: What do we want to know?","type":"article-journal","volume":"5"},"uris":["http://www.mendeley.com/documents/?uuid=d8488c86-43a0-46a6-8a8a-a789ddc034f7"]}],"mendeley":{"formattedCitation":"[1], [4]","plainTextFormattedCitation":"[1], [4]","previouslyFormattedCitation":"(Paul Black &amp; Wiliam, 1998; Brookhart &amp; Loadman, 1992)"},"properties":{"noteIndex":0},"schema":"https://github.com/citation-style-language/schema/raw/master/csl-citation.json"}</w:instrText>
      </w:r>
      <w:r w:rsidRPr="00C21643">
        <w:rPr>
          <w:rFonts w:ascii="Palatino Linotype" w:hAnsi="Palatino Linotype" w:cs="Times New Roman"/>
          <w:sz w:val="20"/>
          <w:szCs w:val="20"/>
        </w:rPr>
        <w:fldChar w:fldCharType="separate"/>
      </w:r>
      <w:r w:rsidRPr="00C21643">
        <w:rPr>
          <w:rFonts w:ascii="Palatino Linotype" w:hAnsi="Palatino Linotype" w:cs="Times New Roman"/>
          <w:noProof/>
          <w:sz w:val="20"/>
          <w:szCs w:val="20"/>
        </w:rPr>
        <w:t>[1], [4]</w:t>
      </w:r>
      <w:r w:rsidRPr="00C21643">
        <w:rPr>
          <w:rFonts w:ascii="Palatino Linotype" w:hAnsi="Palatino Linotype" w:cs="Times New Roman"/>
          <w:sz w:val="20"/>
          <w:szCs w:val="20"/>
        </w:rPr>
        <w:fldChar w:fldCharType="end"/>
      </w:r>
      <w:r w:rsidRPr="00C21643">
        <w:rPr>
          <w:rFonts w:ascii="Palatino Linotype" w:hAnsi="Palatino Linotype" w:cs="Times New Roman"/>
          <w:sz w:val="20"/>
          <w:szCs w:val="20"/>
        </w:rPr>
        <w:t xml:space="preserve">. Bên cạnh đó, ĐGQT còn giúp  người học tích cực, tự điều chỉnh hoạt động học tập của bản thân để đạt được mục tiêu kì vọng </w:t>
      </w:r>
      <w:r w:rsidRPr="00C21643">
        <w:rPr>
          <w:rFonts w:ascii="Palatino Linotype" w:hAnsi="Palatino Linotype" w:cs="Times New Roman"/>
          <w:sz w:val="20"/>
          <w:szCs w:val="20"/>
        </w:rPr>
        <w:fldChar w:fldCharType="begin" w:fldLock="1"/>
      </w:r>
      <w:r w:rsidRPr="00C21643">
        <w:rPr>
          <w:rFonts w:ascii="Palatino Linotype" w:hAnsi="Palatino Linotype" w:cs="Times New Roman"/>
          <w:sz w:val="20"/>
          <w:szCs w:val="20"/>
        </w:rPr>
        <w:instrText>ADDIN CSL_CITATION {"citationItems":[{"id":"ITEM-1","itemData":{"ISBN":"0307-5079","author":[{"dropping-particle":"","family":"Nicol","given":"David J","non-dropping-particle":"","parse-names":false,"suffix":""},{"dropping-particle":"","family":"Macfarlane‐Dick","given":"Debra","non-dropping-particle":"","parse-names":false,"suffix":""}],"container-title":"Studies in higher education","id":"ITEM-1","issue":"2","issued":{"date-parts":[["2006"]]},"language":"en","page":"199-218","title":"Formative assessment and self‐regulated learning: A model and seven principles of good feedback practice","type":"article-journal","volume":"31"},"uris":["http://www.mendeley.com/documents/?uuid=b80e7b3d-6af3-48fc-9571-73c480a3fd48"]}],"mendeley":{"formattedCitation":"[5]","plainTextFormattedCitation":"[5]","previouslyFormattedCitation":"(Nicol &amp; Macfarlane‐Dick, 2006)"},"properties":{"noteIndex":0},"schema":"https://github.com/citation-style-language/schema/raw/master/csl-citation.json"}</w:instrText>
      </w:r>
      <w:r w:rsidRPr="00C21643">
        <w:rPr>
          <w:rFonts w:ascii="Palatino Linotype" w:hAnsi="Palatino Linotype" w:cs="Times New Roman"/>
          <w:sz w:val="20"/>
          <w:szCs w:val="20"/>
        </w:rPr>
        <w:fldChar w:fldCharType="separate"/>
      </w:r>
      <w:r w:rsidRPr="00C21643">
        <w:rPr>
          <w:rFonts w:ascii="Palatino Linotype" w:hAnsi="Palatino Linotype" w:cs="Times New Roman"/>
          <w:noProof/>
          <w:sz w:val="20"/>
          <w:szCs w:val="20"/>
        </w:rPr>
        <w:t>[5]</w:t>
      </w:r>
      <w:r w:rsidRPr="00C21643">
        <w:rPr>
          <w:rFonts w:ascii="Palatino Linotype" w:hAnsi="Palatino Linotype" w:cs="Times New Roman"/>
          <w:sz w:val="20"/>
          <w:szCs w:val="20"/>
        </w:rPr>
        <w:fldChar w:fldCharType="end"/>
      </w:r>
      <w:r w:rsidRPr="00C21643">
        <w:rPr>
          <w:rFonts w:ascii="Palatino Linotype" w:hAnsi="Palatino Linotype" w:cs="Times New Roman"/>
          <w:sz w:val="20"/>
          <w:szCs w:val="20"/>
        </w:rPr>
        <w:t xml:space="preserve">. Học tập tự điều chỉnh đem lại một nền tàng tốt không chỉ về khả năng tự học, tự quản lý mà còn hình thành động lực bên trong bền vững cho người học </w:t>
      </w:r>
      <w:r w:rsidRPr="00C21643">
        <w:rPr>
          <w:rFonts w:ascii="Palatino Linotype" w:hAnsi="Palatino Linotype" w:cs="Times New Roman"/>
          <w:sz w:val="20"/>
          <w:szCs w:val="20"/>
        </w:rPr>
        <w:fldChar w:fldCharType="begin" w:fldLock="1"/>
      </w:r>
      <w:r w:rsidRPr="00C21643">
        <w:rPr>
          <w:rFonts w:ascii="Palatino Linotype" w:hAnsi="Palatino Linotype" w:cs="Times New Roman"/>
          <w:sz w:val="20"/>
          <w:szCs w:val="20"/>
        </w:rPr>
        <w:instrText>ADDIN CSL_CITATION {"citationItems":[{"id":"ITEM-1","itemData":{"author":[{"dropping-particle":"","family":"Wolters","given":"Christopher A","non-dropping-particle":"","parse-names":false,"suffix":""}],"container-title":"Universidad de Houston: Department of Educational Psychology. Consultado en: http://www. hewlett. org/uploads/Self_Regulated_Learning__21st_Century_Competencies. pdf","id":"ITEM-1","issued":{"date-parts":[["2010"]]},"language":"en","title":"Self-regulated learning and the 21st century competencies","type":"article-journal"},"uris":["http://www.mendeley.com/documents/?uuid=26a4be8e-51f1-444c-a251-f50f74da1012"]}],"mendeley":{"formattedCitation":"[6]","plainTextFormattedCitation":"[6]","previouslyFormattedCitation":"(Wolters, 2010)"},"properties":{"noteIndex":0},"schema":"https://github.com/citation-style-language/schema/raw/master/csl-citation.json"}</w:instrText>
      </w:r>
      <w:r w:rsidRPr="00C21643">
        <w:rPr>
          <w:rFonts w:ascii="Palatino Linotype" w:hAnsi="Palatino Linotype" w:cs="Times New Roman"/>
          <w:sz w:val="20"/>
          <w:szCs w:val="20"/>
        </w:rPr>
        <w:fldChar w:fldCharType="separate"/>
      </w:r>
      <w:r w:rsidRPr="00C21643">
        <w:rPr>
          <w:rFonts w:ascii="Palatino Linotype" w:hAnsi="Palatino Linotype" w:cs="Times New Roman"/>
          <w:noProof/>
          <w:sz w:val="20"/>
          <w:szCs w:val="20"/>
        </w:rPr>
        <w:t>[6]</w:t>
      </w:r>
      <w:r w:rsidRPr="00C21643">
        <w:rPr>
          <w:rFonts w:ascii="Palatino Linotype" w:hAnsi="Palatino Linotype" w:cs="Times New Roman"/>
          <w:sz w:val="20"/>
          <w:szCs w:val="20"/>
        </w:rPr>
        <w:fldChar w:fldCharType="end"/>
      </w:r>
      <w:r w:rsidRPr="00C21643">
        <w:rPr>
          <w:rFonts w:ascii="Palatino Linotype" w:hAnsi="Palatino Linotype" w:cs="Times New Roman"/>
          <w:sz w:val="20"/>
          <w:szCs w:val="20"/>
        </w:rPr>
        <w:t xml:space="preserve">. </w:t>
      </w:r>
      <w:proofErr w:type="gramStart"/>
      <w:r w:rsidRPr="00C21643">
        <w:rPr>
          <w:rFonts w:ascii="Palatino Linotype" w:hAnsi="Palatino Linotype" w:cs="Times New Roman"/>
          <w:sz w:val="20"/>
          <w:szCs w:val="20"/>
        </w:rPr>
        <w:t>Điều đó giúp người học có thể thích nghi và đạt được hiệu quả học tập cao trong nhiều bối cảnh khác nhau, ngay cả bên ngoài trường học.</w:t>
      </w:r>
      <w:proofErr w:type="gramEnd"/>
    </w:p>
    <w:p w14:paraId="75C7ADCA" w14:textId="77777777" w:rsidR="00C21643" w:rsidRPr="00C21643" w:rsidRDefault="00C21643" w:rsidP="00C21643">
      <w:pPr>
        <w:spacing w:before="120" w:after="60" w:line="276" w:lineRule="auto"/>
        <w:ind w:firstLine="480"/>
        <w:jc w:val="both"/>
        <w:rPr>
          <w:rFonts w:ascii="Palatino Linotype" w:hAnsi="Palatino Linotype" w:cs="Times New Roman"/>
          <w:sz w:val="20"/>
          <w:szCs w:val="20"/>
        </w:rPr>
      </w:pPr>
      <w:r w:rsidRPr="00C21643">
        <w:rPr>
          <w:rFonts w:ascii="Palatino Linotype" w:hAnsi="Palatino Linotype" w:cs="Times New Roman"/>
          <w:sz w:val="20"/>
          <w:szCs w:val="20"/>
        </w:rPr>
        <w:lastRenderedPageBreak/>
        <w:t xml:space="preserve">Tuy nhiên, việc thực hiện ĐGQT trong thực tiễn dạy học còn chưa được chú trọng đúng mức và đem lại hiệu quả như kì vọng ở nhiều nước trên thế giới </w:t>
      </w:r>
      <w:r w:rsidRPr="00C21643">
        <w:rPr>
          <w:rFonts w:ascii="Palatino Linotype" w:hAnsi="Palatino Linotype" w:cs="Times New Roman"/>
          <w:sz w:val="20"/>
          <w:szCs w:val="20"/>
        </w:rPr>
        <w:fldChar w:fldCharType="begin" w:fldLock="1"/>
      </w:r>
      <w:r w:rsidRPr="00C21643">
        <w:rPr>
          <w:rFonts w:ascii="Palatino Linotype" w:hAnsi="Palatino Linotype" w:cs="Times New Roman"/>
          <w:sz w:val="20"/>
          <w:szCs w:val="20"/>
        </w:rPr>
        <w:instrText>ADDIN CSL_CITATION {"citationItems":[{"id":"ITEM-1","itemData":{"DOI":"10.1080/0969595980050102","ISBN":"0969-594X","abstract":"ABSTRACT This article is a review of the literature on classroom formative assessment. Several studies show firm evidence that innovations designed to strengthen the frequent feedback that students receive about their learning yield substantial learning gains. The perceptions of students and their role in self?assessment are considered alongside analysis of the strategies used by teachers and the formative strategies incorporated in such systemic approaches as mastery learning. There follows a more detailed and theoretical analysis of the nature of feedback, which provides a basis for a discussion of the development of theoretical models for formative assessment and of the prospects for the improvement of practice.","author":[{"dropping-particle":"","family":"Black","given":"Paul","non-dropping-particle":"","parse-names":false,"suffix":""},{"dropping-particle":"","family":"Wiliam","given":"Dylan","non-dropping-particle":"","parse-names":false,"suffix":""}],"container-title":"Assessment in Education: Principles, Policy &amp; Practice","id":"ITEM-1","issue":"1","issued":{"date-parts":[["1998"]]},"language":"en","page":"7-74","publisher":"Routledge","title":"Assessment and Classroom Learning","type":"article-journal","volume":"5"},"uris":["http://www.mendeley.com/documents/?uuid=9adba36c-8d66-40bb-90b2-4fc51cf20883"]},{"id":"ITEM-2","itemData":{"ISBN":"1098-2736","author":[{"dropping-particle":"","family":"Buck","given":"Gayle A","non-dropping-particle":"","parse-names":false,"suffix":""},{"dropping-particle":"","family":"Trauth‐Nare","given":"Amy","non-dropping-particle":"","parse-names":false,"suffix":""},{"dropping-particle":"","family":"Kaftan","given":"Juliann","non-dropping-particle":"","parse-names":false,"suffix":""}],"container-title":"Journal of Research in Science Teaching","id":"ITEM-2","issue":"4","issued":{"date-parts":[["2010"]]},"language":"en","page":"402-421","title":"Making formative assessment discernable to pre‐service teachers of science","type":"article-journal","volume":"47"},"uris":["http://www.mendeley.com/documents/?uuid=3c149167-9625-45ab-a2b9-653ac3abf8bd"]}],"mendeley":{"formattedCitation":"[1], [7]","plainTextFormattedCitation":"[1], [7]","previouslyFormattedCitation":"(Paul Black &amp; Wiliam, 1998; Buck et al., 2010)"},"properties":{"noteIndex":0},"schema":"https://github.com/citation-style-language/schema/raw/master/csl-citation.json"}</w:instrText>
      </w:r>
      <w:r w:rsidRPr="00C21643">
        <w:rPr>
          <w:rFonts w:ascii="Palatino Linotype" w:hAnsi="Palatino Linotype" w:cs="Times New Roman"/>
          <w:sz w:val="20"/>
          <w:szCs w:val="20"/>
        </w:rPr>
        <w:fldChar w:fldCharType="separate"/>
      </w:r>
      <w:r w:rsidRPr="00C21643">
        <w:rPr>
          <w:rFonts w:ascii="Palatino Linotype" w:hAnsi="Palatino Linotype" w:cs="Times New Roman"/>
          <w:noProof/>
          <w:sz w:val="20"/>
          <w:szCs w:val="20"/>
        </w:rPr>
        <w:t>[1], [7]</w:t>
      </w:r>
      <w:r w:rsidRPr="00C21643">
        <w:rPr>
          <w:rFonts w:ascii="Palatino Linotype" w:hAnsi="Palatino Linotype" w:cs="Times New Roman"/>
          <w:sz w:val="20"/>
          <w:szCs w:val="20"/>
        </w:rPr>
        <w:fldChar w:fldCharType="end"/>
      </w:r>
      <w:r w:rsidRPr="00C21643">
        <w:rPr>
          <w:rFonts w:ascii="Palatino Linotype" w:hAnsi="Palatino Linotype" w:cs="Times New Roman"/>
          <w:sz w:val="20"/>
          <w:szCs w:val="20"/>
        </w:rPr>
        <w:t xml:space="preserve">. Một trong những nguyên nhân cản trở việc áp dụng ĐGQT là nhận thức và kĩ năng của giáo viên về loại hình ĐG này còn hạn chế </w:t>
      </w:r>
      <w:r w:rsidRPr="00C21643">
        <w:rPr>
          <w:rFonts w:ascii="Palatino Linotype" w:hAnsi="Palatino Linotype" w:cs="Times New Roman"/>
          <w:sz w:val="20"/>
          <w:szCs w:val="20"/>
        </w:rPr>
        <w:fldChar w:fldCharType="begin" w:fldLock="1"/>
      </w:r>
      <w:r w:rsidRPr="00C21643">
        <w:rPr>
          <w:rFonts w:ascii="Palatino Linotype" w:hAnsi="Palatino Linotype" w:cs="Times New Roman"/>
          <w:sz w:val="20"/>
          <w:szCs w:val="20"/>
        </w:rPr>
        <w:instrText>ADDIN CSL_CITATION {"citationItems":[{"id":"ITEM-1","itemData":{"DOI":"10.1080/0969595980050102","ISBN":"0969-594X","abstract":"ABSTRACT This article is a review of the literature on classroom formative assessment. Several studies show firm evidence that innovations designed to strengthen the frequent feedback that students receive about their learning yield substantial learning gains. The perceptions of students and their role in self?assessment are considered alongside analysis of the strategies used by teachers and the formative strategies incorporated in such systemic approaches as mastery learning. There follows a more detailed and theoretical analysis of the nature of feedback, which provides a basis for a discussion of the development of theoretical models for formative assessment and of the prospects for the improvement of practice.","author":[{"dropping-particle":"","family":"Black","given":"Paul","non-dropping-particle":"","parse-names":false,"suffix":""},{"dropping-particle":"","family":"Wiliam","given":"Dylan","non-dropping-particle":"","parse-names":false,"suffix":""}],"container-title":"Assessment in Education: Principles, Policy &amp; Practice","id":"ITEM-1","issue":"1","issued":{"date-parts":[["1998"]]},"language":"en","page":"7-74","publisher":"Routledge","title":"Assessment and Classroom Learning","type":"article-journal","volume":"5"},"uris":["http://www.mendeley.com/documents/?uuid=9adba36c-8d66-40bb-90b2-4fc51cf20883"]}],"mendeley":{"formattedCitation":"[1]","plainTextFormattedCitation":"[1]","previouslyFormattedCitation":"(Paul Black &amp; Wiliam, 1998)"},"properties":{"noteIndex":0},"schema":"https://github.com/citation-style-language/schema/raw/master/csl-citation.json"}</w:instrText>
      </w:r>
      <w:r w:rsidRPr="00C21643">
        <w:rPr>
          <w:rFonts w:ascii="Palatino Linotype" w:hAnsi="Palatino Linotype" w:cs="Times New Roman"/>
          <w:sz w:val="20"/>
          <w:szCs w:val="20"/>
        </w:rPr>
        <w:fldChar w:fldCharType="separate"/>
      </w:r>
      <w:r w:rsidRPr="00C21643">
        <w:rPr>
          <w:rFonts w:ascii="Palatino Linotype" w:hAnsi="Palatino Linotype" w:cs="Times New Roman"/>
          <w:noProof/>
          <w:sz w:val="20"/>
          <w:szCs w:val="20"/>
        </w:rPr>
        <w:t>[1]</w:t>
      </w:r>
      <w:r w:rsidRPr="00C21643">
        <w:rPr>
          <w:rFonts w:ascii="Palatino Linotype" w:hAnsi="Palatino Linotype" w:cs="Times New Roman"/>
          <w:sz w:val="20"/>
          <w:szCs w:val="20"/>
        </w:rPr>
        <w:fldChar w:fldCharType="end"/>
      </w:r>
      <w:r w:rsidRPr="00C21643">
        <w:rPr>
          <w:rFonts w:ascii="Palatino Linotype" w:hAnsi="Palatino Linotype" w:cs="Times New Roman"/>
          <w:sz w:val="20"/>
          <w:szCs w:val="20"/>
        </w:rPr>
        <w:t xml:space="preserve">. Chính vì vai trò quan trọng của ĐGQT  trong dạy học và sự thay đổi chậm chạp của giáo viên về thực hiện ĐGQT trong thực tiễn đã thúc đẩy nhiều nghiên cứu về đào tạo kĩ năng này cho SV sư phạm ngay tại các trường đào tạo giáo viên </w:t>
      </w:r>
      <w:r w:rsidRPr="00C21643">
        <w:rPr>
          <w:rFonts w:ascii="Palatino Linotype" w:hAnsi="Palatino Linotype" w:cs="Times New Roman"/>
          <w:sz w:val="20"/>
          <w:szCs w:val="20"/>
        </w:rPr>
        <w:fldChar w:fldCharType="begin" w:fldLock="1"/>
      </w:r>
      <w:r w:rsidRPr="00C21643">
        <w:rPr>
          <w:rFonts w:ascii="Palatino Linotype" w:hAnsi="Palatino Linotype" w:cs="Times New Roman"/>
          <w:sz w:val="20"/>
          <w:szCs w:val="20"/>
        </w:rPr>
        <w:instrText>ADDIN CSL_CITATION {"citationItems":[{"id":"ITEM-1","itemData":{"DOI":"10.1080/0260293022000009311","ISBN":"0260-2938","author":[{"dropping-particle":"","family":"Sluijsmans","given":"Dominique M A","non-dropping-particle":"","parse-names":false,"suffix":""},{"dropping-particle":"","family":"Brand-Gruwel","given":"Saskia","non-dropping-particle":"","parse-names":false,"suffix":""},{"dropping-particle":"","family":"Merriënboer","given":"Jeroen J G","non-dropping-particle":"van","parse-names":false,"suffix":""}],"container-title":"Assessment &amp; Evaluation in Higher Education","id":"ITEM-1","issue":"5","issued":{"date-parts":[["2002"]]},"language":"en","page":"443-454","publisher":"Routledge","title":"Peer Assessment Training in Teacher Education: Effects on performance and perceptions","type":"article-journal","volume":"27"},"uris":["http://www.mendeley.com/documents/?uuid=2509ea85-297c-44af-848d-d337e0589824"]},{"id":"ITEM-2","itemData":{"ISBN":"0742-051X","author":[{"dropping-particle":"","family":"Graham","given":"Peg","non-dropping-particle":"","parse-names":false,"suffix":""}],"container-title":"Teaching and Teacher Education","id":"ITEM-2","issue":"6","issued":{"date-parts":[["2005"]]},"language":"en","page":"607-621","title":"Classroom-based assessment: Changing knowledge and practice through preservice teacher education","type":"article-journal","volume":"21"},"uris":["http://www.mendeley.com/documents/?uuid=6f8476db-d861-41af-a73d-992724e5f579"]},{"id":"ITEM-3","itemData":{"ISBN":"1745-3992","author":[{"dropping-particle":"","family":"Stiggins","given":"Richard J","non-dropping-particle":"","parse-names":false,"suffix":""}],"container-title":"Educational Measurement: Issues and Practice","id":"ITEM-3","issue":"1","issued":{"date-parts":[["1999"]]},"language":"en","page":"23-27","title":"Evaluating classroom assessment training in teacher education programs","type":"article-journal","volume":"18"},"uris":["http://www.mendeley.com/documents/?uuid=2c8adf95-60a1-4c36-bf22-0af8aea78bdb"]}],"mendeley":{"formattedCitation":"[8]–[10]","plainTextFormattedCitation":"[8]–[10]","previouslyFormattedCitation":"(Graham, 2005; Sluijsmans et al., 2002; R. J. Stiggins, 1999)"},"properties":{"noteIndex":0},"schema":"https://github.com/citation-style-language/schema/raw/master/csl-citation.json"}</w:instrText>
      </w:r>
      <w:r w:rsidRPr="00C21643">
        <w:rPr>
          <w:rFonts w:ascii="Palatino Linotype" w:hAnsi="Palatino Linotype" w:cs="Times New Roman"/>
          <w:sz w:val="20"/>
          <w:szCs w:val="20"/>
        </w:rPr>
        <w:fldChar w:fldCharType="separate"/>
      </w:r>
      <w:r w:rsidRPr="00C21643">
        <w:rPr>
          <w:rFonts w:ascii="Palatino Linotype" w:hAnsi="Palatino Linotype" w:cs="Times New Roman"/>
          <w:noProof/>
          <w:sz w:val="20"/>
          <w:szCs w:val="20"/>
        </w:rPr>
        <w:t>[8]–[10]</w:t>
      </w:r>
      <w:r w:rsidRPr="00C21643">
        <w:rPr>
          <w:rFonts w:ascii="Palatino Linotype" w:hAnsi="Palatino Linotype" w:cs="Times New Roman"/>
          <w:sz w:val="20"/>
          <w:szCs w:val="20"/>
        </w:rPr>
        <w:fldChar w:fldCharType="end"/>
      </w:r>
      <w:r w:rsidRPr="00C21643">
        <w:rPr>
          <w:rFonts w:ascii="Palatino Linotype" w:hAnsi="Palatino Linotype" w:cs="Times New Roman"/>
          <w:sz w:val="20"/>
          <w:szCs w:val="20"/>
        </w:rPr>
        <w:t xml:space="preserve">. Đa phần các nghiên cứu này chú trọng đến việc phát triển nhận thức của SV về ĐG, đặc biệt là ĐGQT, tuy nhiên vẫn thiếu những nghiên cứu chuyên sâu về phát triển kĩ năng ĐGQT cho SV sư phạm. </w:t>
      </w:r>
      <w:r w:rsidRPr="00C21643">
        <w:rPr>
          <w:rFonts w:ascii="Palatino Linotype" w:hAnsi="Palatino Linotype" w:cs="Times New Roman"/>
          <w:sz w:val="20"/>
          <w:szCs w:val="20"/>
        </w:rPr>
        <w:tab/>
        <w:t xml:space="preserve"> </w:t>
      </w:r>
    </w:p>
    <w:p w14:paraId="086302F1"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ab/>
        <w:t xml:space="preserve">Ở Việt Nam, cùng với việc đổi mới chương trình theo định hướng phát triển năng lực, ĐGQT với mục đích đảm bảo sự tiến bộ của người học cũng được chú trọng nhiều hơn, thể hiện trong chương trình tổng thể ban hành năm 2018 </w:t>
      </w:r>
      <w:r w:rsidRPr="00C21643">
        <w:rPr>
          <w:rFonts w:ascii="Palatino Linotype" w:hAnsi="Palatino Linotype" w:cs="Times New Roman"/>
          <w:sz w:val="20"/>
          <w:szCs w:val="20"/>
        </w:rPr>
        <w:fldChar w:fldCharType="begin" w:fldLock="1"/>
      </w:r>
      <w:r w:rsidRPr="00C21643">
        <w:rPr>
          <w:rFonts w:ascii="Palatino Linotype" w:hAnsi="Palatino Linotype" w:cs="Times New Roman"/>
          <w:sz w:val="20"/>
          <w:szCs w:val="20"/>
        </w:rPr>
        <w:instrText>ADDIN CSL_CITATION {"citationItems":[{"id":"ITEM-1","itemData":{"author":[{"dropping-particle":"","family":"Bộ Giáo dục và Đào tạo","given":"","non-dropping-particle":"","parse-names":false,"suffix":""}],"id":"ITEM-1","issued":{"date-parts":[["2018"]]},"publisher-place":"Việt Nam","title":"Chương trình giáo dục phổ thông - chương trình tổng thể","type":"legislation"},"uris":["http://www.mendeley.com/documents/?uuid=895a92fb-52ff-4aba-8189-5c790c771923"]}],"mendeley":{"formattedCitation":"[11]","plainTextFormattedCitation":"[11]","previouslyFormattedCitation":"(Chương Trình Giáo Dục Phổ Thông - Chương Trình Tổng Thể, 2018)"},"properties":{"noteIndex":0},"schema":"https://github.com/citation-style-language/schema/raw/master/csl-citation.json"}</w:instrText>
      </w:r>
      <w:r w:rsidRPr="00C21643">
        <w:rPr>
          <w:rFonts w:ascii="Palatino Linotype" w:hAnsi="Palatino Linotype" w:cs="Times New Roman"/>
          <w:sz w:val="20"/>
          <w:szCs w:val="20"/>
        </w:rPr>
        <w:fldChar w:fldCharType="separate"/>
      </w:r>
      <w:r w:rsidRPr="00C21643">
        <w:rPr>
          <w:rFonts w:ascii="Palatino Linotype" w:hAnsi="Palatino Linotype" w:cs="Times New Roman"/>
          <w:noProof/>
          <w:sz w:val="20"/>
          <w:szCs w:val="20"/>
        </w:rPr>
        <w:t>[11]</w:t>
      </w:r>
      <w:r w:rsidRPr="00C21643">
        <w:rPr>
          <w:rFonts w:ascii="Palatino Linotype" w:hAnsi="Palatino Linotype" w:cs="Times New Roman"/>
          <w:sz w:val="20"/>
          <w:szCs w:val="20"/>
        </w:rPr>
        <w:fldChar w:fldCharType="end"/>
      </w:r>
      <w:r w:rsidRPr="00C21643">
        <w:rPr>
          <w:rFonts w:ascii="Palatino Linotype" w:hAnsi="Palatino Linotype" w:cs="Times New Roman"/>
          <w:sz w:val="20"/>
          <w:szCs w:val="20"/>
        </w:rPr>
        <w:t xml:space="preserve">. Thông tư số 58/2011/TT-BGDĐT cũng đề cập đến việc thực hiện ĐG </w:t>
      </w:r>
      <w:proofErr w:type="gramStart"/>
      <w:r w:rsidRPr="00C21643">
        <w:rPr>
          <w:rFonts w:ascii="Palatino Linotype" w:hAnsi="Palatino Linotype" w:cs="Times New Roman"/>
          <w:sz w:val="20"/>
          <w:szCs w:val="20"/>
        </w:rPr>
        <w:t>theo</w:t>
      </w:r>
      <w:proofErr w:type="gramEnd"/>
      <w:r w:rsidRPr="00C21643">
        <w:rPr>
          <w:rFonts w:ascii="Palatino Linotype" w:hAnsi="Palatino Linotype" w:cs="Times New Roman"/>
          <w:sz w:val="20"/>
          <w:szCs w:val="20"/>
        </w:rPr>
        <w:t xml:space="preserve"> hướng nhận xét thay cho điểm số, vì sự tiến bộ của học sinh (HS). </w:t>
      </w:r>
      <w:proofErr w:type="gramStart"/>
      <w:r w:rsidRPr="00C21643">
        <w:rPr>
          <w:rFonts w:ascii="Palatino Linotype" w:hAnsi="Palatino Linotype" w:cs="Times New Roman"/>
          <w:sz w:val="20"/>
          <w:szCs w:val="20"/>
        </w:rPr>
        <w:t>Sự thay đổi trong xu hướng dạy học và ĐG ở trường phổ thông đòi hỏi SV sư phạm phải được trang bị cả nhận thức và kỹ năng ĐGQT để có thể đáp ứng được nhu cầu của chương trình mới.</w:t>
      </w:r>
      <w:proofErr w:type="gramEnd"/>
      <w:r w:rsidRPr="00C21643">
        <w:rPr>
          <w:rFonts w:ascii="Palatino Linotype" w:hAnsi="Palatino Linotype" w:cs="Times New Roman"/>
          <w:sz w:val="20"/>
          <w:szCs w:val="20"/>
        </w:rPr>
        <w:t xml:space="preserve"> </w:t>
      </w:r>
      <w:proofErr w:type="gramStart"/>
      <w:r w:rsidRPr="00C21643">
        <w:rPr>
          <w:rFonts w:ascii="Palatino Linotype" w:hAnsi="Palatino Linotype" w:cs="Times New Roman"/>
          <w:sz w:val="20"/>
          <w:szCs w:val="20"/>
        </w:rPr>
        <w:t>Và ngành sư phạm Sinh học cũng không nằm ngoài xu thế đó.</w:t>
      </w:r>
      <w:proofErr w:type="gramEnd"/>
      <w:r w:rsidRPr="00C21643">
        <w:rPr>
          <w:rFonts w:ascii="Palatino Linotype" w:hAnsi="Palatino Linotype" w:cs="Times New Roman"/>
          <w:sz w:val="20"/>
          <w:szCs w:val="20"/>
        </w:rPr>
        <w:t xml:space="preserve"> Với những lý do trên, nghiên cứu này được thực hiện với mục tiêu xây dựng bảng tiêu chí ĐG kỹ năng ĐGQT cho SV ngành sư phạm Sinh học, từ đó làm cơ sở để các cơ sở đào tạo xây dựng nội dung đào tạo nhằm phát triển kỹ năng thực hiện loại hình ĐG này cho SV.</w:t>
      </w:r>
      <w:r w:rsidRPr="00C21643">
        <w:rPr>
          <w:rFonts w:ascii="Palatino Linotype" w:hAnsi="Palatino Linotype" w:cs="Times New Roman"/>
          <w:sz w:val="20"/>
          <w:szCs w:val="20"/>
        </w:rPr>
        <w:tab/>
      </w:r>
    </w:p>
    <w:p w14:paraId="59748209" w14:textId="77777777" w:rsidR="00C21643" w:rsidRPr="00C21643" w:rsidRDefault="00C21643" w:rsidP="00C21643">
      <w:pPr>
        <w:widowControl w:val="0"/>
        <w:autoSpaceDE w:val="0"/>
        <w:autoSpaceDN w:val="0"/>
        <w:adjustRightInd w:val="0"/>
        <w:spacing w:before="360" w:after="240" w:line="276" w:lineRule="auto"/>
        <w:ind w:left="482" w:hanging="482"/>
        <w:rPr>
          <w:rFonts w:ascii="Palatino Linotype" w:hAnsi="Palatino Linotype" w:cs="Times New Roman"/>
          <w:b/>
          <w:sz w:val="24"/>
          <w:szCs w:val="24"/>
        </w:rPr>
      </w:pPr>
      <w:r w:rsidRPr="00C21643">
        <w:rPr>
          <w:rFonts w:ascii="Palatino Linotype" w:hAnsi="Palatino Linotype" w:cs="Times New Roman"/>
          <w:b/>
          <w:sz w:val="24"/>
          <w:szCs w:val="24"/>
        </w:rPr>
        <w:t>2. Phương pháp nghiên cứu</w:t>
      </w:r>
    </w:p>
    <w:p w14:paraId="65AD6CBB"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ab/>
        <w:t>- N</w:t>
      </w:r>
      <w:r w:rsidRPr="00C21643">
        <w:rPr>
          <w:rFonts w:ascii="Palatino Linotype" w:hAnsi="Palatino Linotype" w:cs="Times New Roman"/>
          <w:sz w:val="20"/>
          <w:szCs w:val="20"/>
        </w:rPr>
        <w:t xml:space="preserve">ghiên cứu lý thuyết liên quan đến ĐG nói </w:t>
      </w:r>
      <w:proofErr w:type="gramStart"/>
      <w:r w:rsidRPr="00C21643">
        <w:rPr>
          <w:rFonts w:ascii="Palatino Linotype" w:hAnsi="Palatino Linotype" w:cs="Times New Roman"/>
          <w:sz w:val="20"/>
          <w:szCs w:val="20"/>
        </w:rPr>
        <w:t>chung</w:t>
      </w:r>
      <w:proofErr w:type="gramEnd"/>
      <w:r w:rsidRPr="00C21643">
        <w:rPr>
          <w:rFonts w:ascii="Palatino Linotype" w:hAnsi="Palatino Linotype" w:cs="Times New Roman"/>
          <w:sz w:val="20"/>
          <w:szCs w:val="20"/>
        </w:rPr>
        <w:t xml:space="preserve"> và ĐGQT nói riêng để xác định các kỹ năng thành phần của ĐGQT và thang đo mức độ kỹ năng phù hợp.</w:t>
      </w:r>
    </w:p>
    <w:p w14:paraId="49313D7D"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ab/>
        <w:t>- Tham khảo ý kiến chuyên gia giảng viên (GV), giáo viên có kinh nghiệm thuộc lĩnh vực chuyên môn liên quan trước và sau khi xây dựng bộ tiêu chí giúp định hướng cho việc xác định các thao tác, logic thực hiện thao tác, yêu cầu sư phạm của thao tác.</w:t>
      </w:r>
    </w:p>
    <w:p w14:paraId="0110D269" w14:textId="77777777" w:rsidR="00C21643" w:rsidRPr="00C21643" w:rsidRDefault="00C21643" w:rsidP="00C21643">
      <w:pPr>
        <w:spacing w:before="120" w:after="60" w:line="276" w:lineRule="auto"/>
        <w:jc w:val="both"/>
        <w:rPr>
          <w:rFonts w:ascii="Palatino Linotype" w:hAnsi="Palatino Linotype" w:cs="Times New Roman"/>
          <w:sz w:val="20"/>
          <w:szCs w:val="20"/>
        </w:rPr>
      </w:pPr>
      <w:proofErr w:type="gramStart"/>
      <w:r w:rsidRPr="00C21643">
        <w:rPr>
          <w:rFonts w:ascii="Palatino Linotype" w:hAnsi="Palatino Linotype" w:cs="Times New Roman"/>
          <w:sz w:val="20"/>
          <w:szCs w:val="20"/>
        </w:rPr>
        <w:t>`</w:t>
      </w:r>
      <w:r w:rsidRPr="00C21643">
        <w:rPr>
          <w:rFonts w:ascii="Palatino Linotype" w:hAnsi="Palatino Linotype" w:cs="Times New Roman"/>
          <w:sz w:val="20"/>
          <w:szCs w:val="20"/>
        </w:rPr>
        <w:tab/>
        <w:t>- Bộ tiêu chí được thử nghiệm trong thực tế để chỉnh sửa, hoàn thiện.</w:t>
      </w:r>
      <w:proofErr w:type="gramEnd"/>
      <w:r w:rsidRPr="00C21643">
        <w:rPr>
          <w:rFonts w:ascii="Palatino Linotype" w:hAnsi="Palatino Linotype" w:cs="Times New Roman"/>
          <w:sz w:val="20"/>
          <w:szCs w:val="20"/>
        </w:rPr>
        <w:t xml:space="preserve"> </w:t>
      </w:r>
      <w:proofErr w:type="gramStart"/>
      <w:r w:rsidRPr="00C21643">
        <w:rPr>
          <w:rFonts w:ascii="Palatino Linotype" w:hAnsi="Palatino Linotype" w:cs="Times New Roman"/>
          <w:sz w:val="20"/>
          <w:szCs w:val="20"/>
        </w:rPr>
        <w:t>Chúng tôi đưa ra các nhiệm vụ để SV bộc lộ được các kỹ năng thành phần của ĐGQT (có thể ở dạng viết hoặc hành động).</w:t>
      </w:r>
      <w:proofErr w:type="gramEnd"/>
      <w:r w:rsidRPr="00C21643">
        <w:rPr>
          <w:rFonts w:ascii="Palatino Linotype" w:hAnsi="Palatino Linotype" w:cs="Times New Roman"/>
          <w:sz w:val="20"/>
          <w:szCs w:val="20"/>
        </w:rPr>
        <w:t xml:space="preserve"> </w:t>
      </w:r>
      <w:proofErr w:type="gramStart"/>
      <w:r w:rsidRPr="00C21643">
        <w:rPr>
          <w:rFonts w:ascii="Palatino Linotype" w:hAnsi="Palatino Linotype" w:cs="Times New Roman"/>
          <w:sz w:val="20"/>
          <w:szCs w:val="20"/>
        </w:rPr>
        <w:t>Đối tượng gia tham thử nghiệm là SV ngành sư phạm Sinh học tại trường ĐHSP – Đại học Đà Nẵng.</w:t>
      </w:r>
      <w:proofErr w:type="gramEnd"/>
      <w:r w:rsidRPr="00C21643">
        <w:rPr>
          <w:rFonts w:ascii="Palatino Linotype" w:hAnsi="Palatino Linotype" w:cs="Times New Roman"/>
          <w:sz w:val="20"/>
          <w:szCs w:val="20"/>
        </w:rPr>
        <w:t xml:space="preserve"> </w:t>
      </w:r>
    </w:p>
    <w:p w14:paraId="7D64AC21" w14:textId="77777777" w:rsidR="00C21643" w:rsidRPr="00C21643" w:rsidRDefault="00C21643" w:rsidP="00C21643">
      <w:pPr>
        <w:tabs>
          <w:tab w:val="left" w:pos="5650"/>
        </w:tabs>
        <w:spacing w:before="360" w:after="240" w:line="276" w:lineRule="auto"/>
        <w:jc w:val="both"/>
        <w:rPr>
          <w:rFonts w:ascii="Palatino Linotype" w:hAnsi="Palatino Linotype" w:cs="Times New Roman"/>
          <w:b/>
          <w:sz w:val="24"/>
          <w:szCs w:val="24"/>
        </w:rPr>
      </w:pPr>
      <w:r w:rsidRPr="00C21643">
        <w:rPr>
          <w:rFonts w:ascii="Palatino Linotype" w:hAnsi="Palatino Linotype" w:cs="Times New Roman"/>
          <w:b/>
          <w:sz w:val="24"/>
          <w:szCs w:val="24"/>
        </w:rPr>
        <w:t xml:space="preserve">3. Kết quả và thảo luận </w:t>
      </w:r>
      <w:r w:rsidRPr="00C21643">
        <w:rPr>
          <w:rFonts w:ascii="Palatino Linotype" w:hAnsi="Palatino Linotype" w:cs="Times New Roman"/>
          <w:b/>
          <w:sz w:val="24"/>
          <w:szCs w:val="24"/>
        </w:rPr>
        <w:tab/>
      </w:r>
    </w:p>
    <w:p w14:paraId="1A2C71B7" w14:textId="77777777" w:rsidR="00C21643" w:rsidRPr="00C21643" w:rsidRDefault="00C21643" w:rsidP="00C21643">
      <w:pPr>
        <w:spacing w:before="120" w:after="60" w:line="276" w:lineRule="auto"/>
        <w:jc w:val="both"/>
        <w:rPr>
          <w:rFonts w:ascii="Palatino Linotype" w:hAnsi="Palatino Linotype" w:cs="Times New Roman"/>
          <w:b/>
          <w:sz w:val="20"/>
          <w:szCs w:val="20"/>
        </w:rPr>
      </w:pPr>
      <w:r w:rsidRPr="00C21643">
        <w:rPr>
          <w:rFonts w:ascii="Palatino Linotype" w:hAnsi="Palatino Linotype" w:cs="Times New Roman"/>
          <w:b/>
          <w:sz w:val="20"/>
          <w:szCs w:val="20"/>
        </w:rPr>
        <w:t>3.1 Cấu trúc của kỹ năng ĐG quá trình</w:t>
      </w:r>
    </w:p>
    <w:p w14:paraId="361344EF" w14:textId="77777777" w:rsidR="00C21643" w:rsidRPr="00C21643" w:rsidRDefault="00C21643" w:rsidP="00C21643">
      <w:pPr>
        <w:spacing w:before="120" w:after="60" w:line="276" w:lineRule="auto"/>
        <w:ind w:firstLine="720"/>
        <w:jc w:val="both"/>
        <w:rPr>
          <w:rFonts w:ascii="Palatino Linotype" w:hAnsi="Palatino Linotype" w:cs="Times New Roman"/>
          <w:sz w:val="20"/>
          <w:szCs w:val="20"/>
        </w:rPr>
      </w:pPr>
      <w:r w:rsidRPr="00C21643">
        <w:rPr>
          <w:rFonts w:ascii="Palatino Linotype" w:hAnsi="Palatino Linotype" w:cs="Times New Roman"/>
          <w:sz w:val="20"/>
          <w:szCs w:val="20"/>
        </w:rPr>
        <w:t xml:space="preserve">Để xác định cấu trúc kĩ năng ĐGQT, chúng tôi dựa </w:t>
      </w:r>
      <w:proofErr w:type="gramStart"/>
      <w:r w:rsidRPr="00C21643">
        <w:rPr>
          <w:rFonts w:ascii="Palatino Linotype" w:hAnsi="Palatino Linotype" w:cs="Times New Roman"/>
          <w:sz w:val="20"/>
          <w:szCs w:val="20"/>
        </w:rPr>
        <w:t>theo</w:t>
      </w:r>
      <w:proofErr w:type="gramEnd"/>
      <w:r w:rsidRPr="00C21643">
        <w:rPr>
          <w:rFonts w:ascii="Palatino Linotype" w:hAnsi="Palatino Linotype" w:cs="Times New Roman"/>
          <w:sz w:val="20"/>
          <w:szCs w:val="20"/>
        </w:rPr>
        <w:t xml:space="preserve"> 02 cách tiếp cận. Trước hết, dựa trên những phân tích về kĩ năng ĐG chung của Chrisstoforidou </w:t>
      </w:r>
      <w:r w:rsidRPr="00C21643">
        <w:rPr>
          <w:rFonts w:ascii="Palatino Linotype" w:hAnsi="Palatino Linotype" w:cs="Times New Roman"/>
          <w:sz w:val="20"/>
          <w:szCs w:val="20"/>
        </w:rPr>
        <w:fldChar w:fldCharType="begin" w:fldLock="1"/>
      </w:r>
      <w:r w:rsidRPr="00C21643">
        <w:rPr>
          <w:rFonts w:ascii="Palatino Linotype" w:hAnsi="Palatino Linotype" w:cs="Times New Roman"/>
          <w:sz w:val="20"/>
          <w:szCs w:val="20"/>
        </w:rPr>
        <w:instrText>ADDIN CSL_CITATION {"citationItems":[{"id":"ITEM-1","itemData":{"DOI":"https://doi.org/10.1016/j.stueduc.2013.11.006","ISBN":"0191-491X","author":[{"dropping-particle":"","family":"Christoforidou","given":"Margarita","non-dropping-particle":"","parse-names":false,"suffix":""},{"dropping-particle":"","family":"Kyriakides","given":"Leonidas","non-dropping-particle":"","parse-names":false,"suffix":""},{"dropping-particle":"","family":"Antoniou","given":"Panayiotis","non-dropping-particle":"","parse-names":false,"suffix":""},{"dropping-particle":"","family":"Creemers","given":"Bert P M","non-dropping-particle":"","parse-names":false,"suffix":""}],"container-title":"Studies in Educational Evaluation","id":"ITEM-1","issued":{"date-parts":[["2014"]]},"language":"en","page":"1-11","title":"Searching for stages of teacher's skills in assessment","type":"article-journal","volume":"40"},"uris":["http://www.mendeley.com/documents/?uuid=a0c0e188-a6c7-45dd-95b0-f079378a3662"]}],"mendeley":{"formattedCitation":"[12]","manualFormatting":"(2014)","plainTextFormattedCitation":"[12]","previouslyFormattedCitation":"(Christoforidou et al., 2014)"},"properties":{"noteIndex":0},"schema":"https://github.com/citation-style-language/schema/raw/master/csl-citation.json"}</w:instrText>
      </w:r>
      <w:r w:rsidRPr="00C21643">
        <w:rPr>
          <w:rFonts w:ascii="Palatino Linotype" w:hAnsi="Palatino Linotype" w:cs="Times New Roman"/>
          <w:sz w:val="20"/>
          <w:szCs w:val="20"/>
        </w:rPr>
        <w:fldChar w:fldCharType="separate"/>
      </w:r>
      <w:r w:rsidRPr="00C21643">
        <w:rPr>
          <w:rFonts w:ascii="Palatino Linotype" w:hAnsi="Palatino Linotype" w:cs="Times New Roman"/>
          <w:noProof/>
          <w:sz w:val="20"/>
          <w:szCs w:val="20"/>
        </w:rPr>
        <w:t>(2014)</w:t>
      </w:r>
      <w:r w:rsidRPr="00C21643">
        <w:rPr>
          <w:rFonts w:ascii="Palatino Linotype" w:hAnsi="Palatino Linotype" w:cs="Times New Roman"/>
          <w:sz w:val="20"/>
          <w:szCs w:val="20"/>
        </w:rPr>
        <w:fldChar w:fldCharType="end"/>
      </w:r>
      <w:r w:rsidRPr="00C21643">
        <w:rPr>
          <w:rFonts w:ascii="Palatino Linotype" w:hAnsi="Palatino Linotype" w:cs="Times New Roman"/>
          <w:sz w:val="20"/>
          <w:szCs w:val="20"/>
        </w:rPr>
        <w:t xml:space="preserve"> và Stiggins </w:t>
      </w:r>
      <w:r w:rsidRPr="00C21643">
        <w:rPr>
          <w:rFonts w:ascii="Palatino Linotype" w:hAnsi="Palatino Linotype" w:cs="Times New Roman"/>
          <w:sz w:val="20"/>
          <w:szCs w:val="20"/>
        </w:rPr>
        <w:fldChar w:fldCharType="begin" w:fldLock="1"/>
      </w:r>
      <w:r w:rsidRPr="00C21643">
        <w:rPr>
          <w:rFonts w:ascii="Palatino Linotype" w:hAnsi="Palatino Linotype" w:cs="Times New Roman"/>
          <w:sz w:val="20"/>
          <w:szCs w:val="20"/>
        </w:rPr>
        <w:instrText>ADDIN CSL_CITATION {"citationItems":[{"id":"ITEM-1","itemData":{"author":[{"dropping-particle":"","family":"Stiggins","given":"Rick","non-dropping-particle":"","parse-names":false,"suffix":""}],"container-title":"Handbook of formative assessment","id":"ITEM-1","issued":{"date-parts":[["2010"]]},"language":"en","page":"233-250","title":"Essential formative assessment competencies for teachers and school leaders","type":"article-journal"},"uris":["http://www.mendeley.com/documents/?uuid=e0d8fe1f-cff4-4146-9f71-f22a534e315c"]}],"mendeley":{"formattedCitation":"[13]","manualFormatting":"(2010)","plainTextFormattedCitation":"[13]","previouslyFormattedCitation":"(R. Stiggins, 2010)"},"properties":{"noteIndex":0},"schema":"https://github.com/citation-style-language/schema/raw/master/csl-citation.json"}</w:instrText>
      </w:r>
      <w:r w:rsidRPr="00C21643">
        <w:rPr>
          <w:rFonts w:ascii="Palatino Linotype" w:hAnsi="Palatino Linotype" w:cs="Times New Roman"/>
          <w:sz w:val="20"/>
          <w:szCs w:val="20"/>
        </w:rPr>
        <w:fldChar w:fldCharType="separate"/>
      </w:r>
      <w:r w:rsidRPr="00C21643">
        <w:rPr>
          <w:rFonts w:ascii="Palatino Linotype" w:hAnsi="Palatino Linotype" w:cs="Times New Roman"/>
          <w:noProof/>
          <w:sz w:val="20"/>
          <w:szCs w:val="20"/>
        </w:rPr>
        <w:t>(2010)</w:t>
      </w:r>
      <w:r w:rsidRPr="00C21643">
        <w:rPr>
          <w:rFonts w:ascii="Palatino Linotype" w:hAnsi="Palatino Linotype" w:cs="Times New Roman"/>
          <w:sz w:val="20"/>
          <w:szCs w:val="20"/>
        </w:rPr>
        <w:fldChar w:fldCharType="end"/>
      </w:r>
      <w:r w:rsidRPr="00C21643">
        <w:rPr>
          <w:rFonts w:ascii="Palatino Linotype" w:hAnsi="Palatino Linotype" w:cs="Times New Roman"/>
          <w:sz w:val="20"/>
          <w:szCs w:val="20"/>
        </w:rPr>
        <w:t xml:space="preserve">, </w:t>
      </w:r>
      <w:r w:rsidRPr="00C21643">
        <w:rPr>
          <w:rFonts w:ascii="Palatino Linotype" w:hAnsi="Palatino Linotype" w:cs="Times New Roman"/>
          <w:sz w:val="20"/>
          <w:szCs w:val="20"/>
        </w:rPr>
        <w:lastRenderedPageBreak/>
        <w:t xml:space="preserve">ĐGQT cũng phải được xem là hoạt động gồm nhiều giai đoạn, mỗi giai đoạn có những kĩ năng hành động tương ứng. Bên cạnh đó, cấu trúc kĩ năng cần phải thể hiện đặc điểm bản chất và chiến lược thực hiện của ĐGQT </w:t>
      </w:r>
      <w:r w:rsidRPr="00C21643">
        <w:rPr>
          <w:rFonts w:ascii="Palatino Linotype" w:hAnsi="Palatino Linotype" w:cs="Times New Roman"/>
          <w:sz w:val="20"/>
          <w:szCs w:val="20"/>
        </w:rPr>
        <w:fldChar w:fldCharType="begin" w:fldLock="1"/>
      </w:r>
      <w:r w:rsidRPr="00C21643">
        <w:rPr>
          <w:rFonts w:ascii="Palatino Linotype" w:hAnsi="Palatino Linotype" w:cs="Times New Roman"/>
          <w:sz w:val="20"/>
          <w:szCs w:val="20"/>
        </w:rPr>
        <w:instrText>ADDIN CSL_CITATION {"citationItems":[{"id":"ITEM-1","itemData":{"author":[{"dropping-particle":"","family":"Black","given":"P","non-dropping-particle":"","parse-names":false,"suffix":""},{"dropping-particle":"","family":"Harrison","given":"C","non-dropping-particle":"","parse-names":false,"suffix":""},{"dropping-particle":"","family":"Lee","given":"C","non-dropping-particle":"","parse-names":false,"suffix":""},{"dropping-particle":"","family":"Marshall","given":"B","non-dropping-particle":"","parse-names":false,"suffix":""},{"dropping-particle":"","family":"Wiliam","given":"D","non-dropping-particle":"","parse-names":false,"suffix":""}],"id":"ITEM-1","issued":{"date-parts":[["2003"]]},"language":"en","publisher":"Open University Press.","publisher-place":"Buckingham: ","title":"Assessment for learning: Putting it into practice","type":"book"},"uris":["http://www.mendeley.com/documents/?uuid=2d271b65-d6e9-4fef-a22f-be2f9ced1b81"]}],"mendeley":{"formattedCitation":"[14]","manualFormatting":"(Black, 2003)","plainTextFormattedCitation":"[14]","previouslyFormattedCitation":"(P Black et al., 2003)"},"properties":{"noteIndex":0},"schema":"https://github.com/citation-style-language/schema/raw/master/csl-citation.json"}</w:instrText>
      </w:r>
      <w:r w:rsidRPr="00C21643">
        <w:rPr>
          <w:rFonts w:ascii="Palatino Linotype" w:hAnsi="Palatino Linotype" w:cs="Times New Roman"/>
          <w:sz w:val="20"/>
          <w:szCs w:val="20"/>
        </w:rPr>
        <w:fldChar w:fldCharType="separate"/>
      </w:r>
      <w:r w:rsidRPr="00C21643">
        <w:rPr>
          <w:rFonts w:ascii="Palatino Linotype" w:hAnsi="Palatino Linotype" w:cs="Times New Roman"/>
          <w:noProof/>
          <w:sz w:val="20"/>
          <w:szCs w:val="20"/>
        </w:rPr>
        <w:t>(Black, 2003)</w:t>
      </w:r>
      <w:r w:rsidRPr="00C21643">
        <w:rPr>
          <w:rFonts w:ascii="Palatino Linotype" w:hAnsi="Palatino Linotype" w:cs="Times New Roman"/>
          <w:sz w:val="20"/>
          <w:szCs w:val="20"/>
        </w:rPr>
        <w:fldChar w:fldCharType="end"/>
      </w:r>
      <w:r w:rsidRPr="00C21643">
        <w:rPr>
          <w:rFonts w:ascii="Palatino Linotype" w:hAnsi="Palatino Linotype" w:cs="Times New Roman"/>
          <w:sz w:val="20"/>
          <w:szCs w:val="20"/>
        </w:rPr>
        <w:t>. Từ đó, chúng tôi đề xuất cấu trúc kĩ năng ĐGQT gồm những kĩ năng thành phần cụ thể như trong bảng dưới đây:</w:t>
      </w:r>
    </w:p>
    <w:p w14:paraId="1C485B4B" w14:textId="77777777" w:rsidR="00C21643" w:rsidRPr="00C21643" w:rsidRDefault="00C21643" w:rsidP="00C21643">
      <w:pPr>
        <w:spacing w:before="120" w:after="60" w:line="276" w:lineRule="auto"/>
        <w:jc w:val="center"/>
        <w:rPr>
          <w:rFonts w:ascii="Palatino Linotype" w:hAnsi="Palatino Linotype" w:cs="Times New Roman"/>
          <w:i/>
          <w:sz w:val="20"/>
          <w:szCs w:val="20"/>
        </w:rPr>
      </w:pPr>
      <w:proofErr w:type="gramStart"/>
      <w:r w:rsidRPr="00C21643">
        <w:rPr>
          <w:rFonts w:ascii="Palatino Linotype" w:hAnsi="Palatino Linotype" w:cs="Times New Roman"/>
          <w:sz w:val="20"/>
          <w:szCs w:val="20"/>
        </w:rPr>
        <w:t>Bảng 1.</w:t>
      </w:r>
      <w:proofErr w:type="gramEnd"/>
      <w:r w:rsidRPr="00C21643">
        <w:rPr>
          <w:rFonts w:ascii="Palatino Linotype" w:hAnsi="Palatino Linotype" w:cs="Times New Roman"/>
          <w:sz w:val="20"/>
          <w:szCs w:val="20"/>
        </w:rPr>
        <w:t xml:space="preserve"> </w:t>
      </w:r>
      <w:r w:rsidRPr="00C21643">
        <w:rPr>
          <w:rFonts w:ascii="Palatino Linotype" w:hAnsi="Palatino Linotype" w:cs="Times New Roman"/>
          <w:i/>
          <w:sz w:val="20"/>
          <w:szCs w:val="20"/>
        </w:rPr>
        <w:t>Cấu trúc kỹ năng ĐG quá trình</w:t>
      </w:r>
    </w:p>
    <w:tbl>
      <w:tblPr>
        <w:tblStyle w:val="TableGrid"/>
        <w:tblW w:w="4876" w:type="pct"/>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61"/>
        <w:gridCol w:w="5644"/>
      </w:tblGrid>
      <w:tr w:rsidR="00C21643" w:rsidRPr="00C21643" w14:paraId="573FCBCB" w14:textId="77777777" w:rsidTr="00C21643">
        <w:tc>
          <w:tcPr>
            <w:tcW w:w="1682" w:type="pct"/>
          </w:tcPr>
          <w:p w14:paraId="1EE31740" w14:textId="77777777" w:rsidR="00C21643" w:rsidRPr="00C21643" w:rsidRDefault="00C21643" w:rsidP="00C21643">
            <w:pPr>
              <w:spacing w:before="120" w:after="60" w:line="276" w:lineRule="auto"/>
              <w:jc w:val="center"/>
              <w:rPr>
                <w:rFonts w:ascii="Palatino Linotype" w:hAnsi="Palatino Linotype" w:cs="Times New Roman"/>
                <w:b/>
                <w:sz w:val="20"/>
                <w:szCs w:val="20"/>
              </w:rPr>
            </w:pPr>
            <w:r w:rsidRPr="00C21643">
              <w:rPr>
                <w:rFonts w:ascii="Palatino Linotype" w:hAnsi="Palatino Linotype" w:cs="Times New Roman"/>
                <w:b/>
                <w:sz w:val="20"/>
                <w:szCs w:val="20"/>
              </w:rPr>
              <w:t>Kỹ năng thành phần</w:t>
            </w:r>
          </w:p>
        </w:tc>
        <w:tc>
          <w:tcPr>
            <w:tcW w:w="3318" w:type="pct"/>
          </w:tcPr>
          <w:p w14:paraId="08FFC546" w14:textId="77777777" w:rsidR="00C21643" w:rsidRPr="00C21643" w:rsidRDefault="00C21643" w:rsidP="00C21643">
            <w:pPr>
              <w:tabs>
                <w:tab w:val="left" w:pos="2242"/>
                <w:tab w:val="center" w:pos="2985"/>
              </w:tabs>
              <w:spacing w:before="120" w:after="60" w:line="276" w:lineRule="auto"/>
              <w:rPr>
                <w:rFonts w:ascii="Palatino Linotype" w:hAnsi="Palatino Linotype" w:cs="Times New Roman"/>
                <w:b/>
                <w:sz w:val="20"/>
                <w:szCs w:val="20"/>
              </w:rPr>
            </w:pPr>
            <w:r w:rsidRPr="00C21643">
              <w:rPr>
                <w:rFonts w:ascii="Palatino Linotype" w:hAnsi="Palatino Linotype" w:cs="Times New Roman"/>
                <w:b/>
                <w:sz w:val="20"/>
                <w:szCs w:val="20"/>
              </w:rPr>
              <w:tab/>
              <w:t>Chỉ báo</w:t>
            </w:r>
          </w:p>
        </w:tc>
      </w:tr>
      <w:tr w:rsidR="00C21643" w:rsidRPr="00C21643" w14:paraId="5E5501CF" w14:textId="77777777" w:rsidTr="00C21643">
        <w:tc>
          <w:tcPr>
            <w:tcW w:w="1682" w:type="pct"/>
          </w:tcPr>
          <w:p w14:paraId="457A21E2"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 xml:space="preserve">A. Xác định mục đích ĐGQT </w:t>
            </w:r>
          </w:p>
        </w:tc>
        <w:tc>
          <w:tcPr>
            <w:tcW w:w="3318" w:type="pct"/>
          </w:tcPr>
          <w:p w14:paraId="7972AD98" w14:textId="77777777" w:rsidR="00C21643" w:rsidRPr="00C21643" w:rsidRDefault="00C21643" w:rsidP="00C21643">
            <w:pPr>
              <w:autoSpaceDE w:val="0"/>
              <w:autoSpaceDN w:val="0"/>
              <w:adjustRightInd w:val="0"/>
              <w:spacing w:before="120" w:after="60" w:line="276" w:lineRule="auto"/>
              <w:rPr>
                <w:rFonts w:ascii="Palatino Linotype" w:hAnsi="Palatino Linotype" w:cs="Times New Roman"/>
                <w:sz w:val="20"/>
                <w:szCs w:val="20"/>
              </w:rPr>
            </w:pPr>
            <w:r w:rsidRPr="00C21643">
              <w:rPr>
                <w:rFonts w:ascii="Palatino Linotype" w:hAnsi="Palatino Linotype" w:cs="Times New Roman"/>
                <w:sz w:val="20"/>
                <w:szCs w:val="20"/>
              </w:rPr>
              <w:t>A1. Xác định được đối tượng ĐG, đối tượng sử dụng kết quả ĐG và loại thông tin mà đối tượng sử dụng ĐG cần</w:t>
            </w:r>
          </w:p>
          <w:p w14:paraId="3F7A9FE6" w14:textId="77777777" w:rsidR="00C21643" w:rsidRPr="00C21643" w:rsidRDefault="00C21643" w:rsidP="00C21643">
            <w:pPr>
              <w:autoSpaceDE w:val="0"/>
              <w:autoSpaceDN w:val="0"/>
              <w:adjustRightInd w:val="0"/>
              <w:spacing w:before="120" w:after="60" w:line="276" w:lineRule="auto"/>
              <w:rPr>
                <w:rFonts w:ascii="Palatino Linotype" w:hAnsi="Palatino Linotype" w:cs="Times New Roman"/>
                <w:sz w:val="20"/>
                <w:szCs w:val="20"/>
              </w:rPr>
            </w:pPr>
            <w:r w:rsidRPr="00C21643">
              <w:rPr>
                <w:rFonts w:ascii="Palatino Linotype" w:hAnsi="Palatino Linotype" w:cs="Times New Roman"/>
                <w:sz w:val="20"/>
                <w:szCs w:val="20"/>
              </w:rPr>
              <w:t>A2. Đảm bảo tính điều chỉnh, cải thiện chất lượng khi xác định mục đích ĐG</w:t>
            </w:r>
          </w:p>
        </w:tc>
      </w:tr>
      <w:tr w:rsidR="00C21643" w:rsidRPr="00C21643" w14:paraId="2A50D484" w14:textId="77777777" w:rsidTr="00C21643">
        <w:tc>
          <w:tcPr>
            <w:tcW w:w="1682" w:type="pct"/>
          </w:tcPr>
          <w:p w14:paraId="7E33586F"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B. Xác định mục tiêu ĐGQT</w:t>
            </w:r>
          </w:p>
        </w:tc>
        <w:tc>
          <w:tcPr>
            <w:tcW w:w="3318" w:type="pct"/>
          </w:tcPr>
          <w:p w14:paraId="12D48C4B"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B1. Xác định được mục tiêu học tập được ĐG</w:t>
            </w:r>
          </w:p>
          <w:p w14:paraId="7F16D75C"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 xml:space="preserve">B2. Mục tiêu ĐG đảm bảo tính rõ ràng, đo lường được </w:t>
            </w:r>
          </w:p>
        </w:tc>
      </w:tr>
      <w:tr w:rsidR="00C21643" w:rsidRPr="00C21643" w14:paraId="058FC008" w14:textId="77777777" w:rsidTr="00C21643">
        <w:trPr>
          <w:trHeight w:val="2600"/>
        </w:trPr>
        <w:tc>
          <w:tcPr>
            <w:tcW w:w="1682" w:type="pct"/>
          </w:tcPr>
          <w:p w14:paraId="79F59B99"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C. Lựa chọn và thiết kế phương pháp, công cụ ĐG</w:t>
            </w:r>
          </w:p>
        </w:tc>
        <w:tc>
          <w:tcPr>
            <w:tcW w:w="3318" w:type="pct"/>
          </w:tcPr>
          <w:p w14:paraId="5E5F4001"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C1. Lựa chọn phương pháp ĐG phù hợp với mục đích và mục tiêu ĐG.</w:t>
            </w:r>
          </w:p>
          <w:p w14:paraId="07275749"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C2. Lựa chọn và thiết kế công cụ ĐG (công cụ thu thập thông tin) phù hợp với mục đích và mục tiêu ĐG.</w:t>
            </w:r>
          </w:p>
          <w:p w14:paraId="0B4C34BC"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C3. Xây dựng tiêu chí ĐG phù hợp với mục đích, mục tiêu, phương pháp và công cụ ĐG đã xác định.</w:t>
            </w:r>
          </w:p>
        </w:tc>
      </w:tr>
      <w:tr w:rsidR="00C21643" w:rsidRPr="00C21643" w14:paraId="7D0ACF0F" w14:textId="77777777" w:rsidTr="00C21643">
        <w:trPr>
          <w:trHeight w:val="3136"/>
        </w:trPr>
        <w:tc>
          <w:tcPr>
            <w:tcW w:w="1682" w:type="pct"/>
          </w:tcPr>
          <w:p w14:paraId="76C69B11"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D. Thu nhận và xử lý thông tin phản hồi</w:t>
            </w:r>
          </w:p>
        </w:tc>
        <w:tc>
          <w:tcPr>
            <w:tcW w:w="3318" w:type="pct"/>
          </w:tcPr>
          <w:p w14:paraId="3C37C2CD"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D1. Ghi chép và tóm tắt thông tin thu được trong quá trình thực hiện hoạt động ĐG.</w:t>
            </w:r>
          </w:p>
          <w:p w14:paraId="42391467"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D2. Phân loại và diễn giải thông tin ĐG thu được theo mục đích, mục tiêu ĐG đã xác định.</w:t>
            </w:r>
          </w:p>
          <w:p w14:paraId="22D09CC5"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D3. Lựa chọn hình thức thể hiện thông tin ĐG phù hợp với bối cảnh (mục tiêu học tập và người sử dụng thông tin).</w:t>
            </w:r>
          </w:p>
          <w:p w14:paraId="381AF3E1"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D4. Trao đổi thông tin ĐG đến đối tượng sử dụng thông tin ĐG hiệu quả.</w:t>
            </w:r>
          </w:p>
        </w:tc>
      </w:tr>
      <w:tr w:rsidR="00C21643" w:rsidRPr="00C21643" w14:paraId="744E3D8D" w14:textId="77777777" w:rsidTr="00C21643">
        <w:tc>
          <w:tcPr>
            <w:tcW w:w="1682" w:type="pct"/>
          </w:tcPr>
          <w:p w14:paraId="22B667DD"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 xml:space="preserve">E. Sử dụng thông tin phản hồi </w:t>
            </w:r>
          </w:p>
        </w:tc>
        <w:tc>
          <w:tcPr>
            <w:tcW w:w="3318" w:type="pct"/>
          </w:tcPr>
          <w:p w14:paraId="4ABB550A"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E1.  Hướng dẫn và tổ chức cho HS xây dựng chiến lược học tập để cải thiện việc học của mình</w:t>
            </w:r>
          </w:p>
          <w:p w14:paraId="0FBA2C9D"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lastRenderedPageBreak/>
              <w:t>E2. Lập kế hoạch điều chỉnh hoạt động giảng dạy của bản thân GV dựa trên thông tin  phản hồi thu được</w:t>
            </w:r>
          </w:p>
        </w:tc>
      </w:tr>
      <w:tr w:rsidR="00C21643" w:rsidRPr="00C21643" w14:paraId="4DA99B87" w14:textId="77777777" w:rsidTr="00C21643">
        <w:tc>
          <w:tcPr>
            <w:tcW w:w="1682" w:type="pct"/>
          </w:tcPr>
          <w:p w14:paraId="789C451A"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lastRenderedPageBreak/>
              <w:t>F. Tạo mối liên kết giữa HS với hoạt động ĐG</w:t>
            </w:r>
          </w:p>
        </w:tc>
        <w:tc>
          <w:tcPr>
            <w:tcW w:w="3318" w:type="pct"/>
          </w:tcPr>
          <w:p w14:paraId="1E13F274"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F1. Chia sẻ mục tiêu học tập trước khi bắt đầu hoạt động dạy học.</w:t>
            </w:r>
          </w:p>
          <w:p w14:paraId="7E49174A"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F2. Tạo điều kiện để HS tham gia thiết kế và sử dụng hoạt động ĐG.</w:t>
            </w:r>
          </w:p>
          <w:p w14:paraId="550F7934"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F3. Khuyến khích HS tham gia ĐG (tự ĐG và ĐG bạn học), theo dõi và đặt mục tiêu học tập của chính mình. Tạo điều kiện để HS trao đổi về hoạt động học tập của chính mình</w:t>
            </w:r>
          </w:p>
        </w:tc>
      </w:tr>
    </w:tbl>
    <w:p w14:paraId="7EC06980" w14:textId="77777777" w:rsidR="00C21643" w:rsidRPr="00C21643" w:rsidRDefault="00C21643" w:rsidP="00C21643">
      <w:pPr>
        <w:spacing w:before="120" w:after="60" w:line="276" w:lineRule="auto"/>
        <w:jc w:val="both"/>
        <w:rPr>
          <w:rFonts w:ascii="Palatino Linotype" w:hAnsi="Palatino Linotype" w:cs="Times New Roman"/>
          <w:b/>
          <w:sz w:val="20"/>
          <w:szCs w:val="20"/>
        </w:rPr>
      </w:pPr>
      <w:r w:rsidRPr="00C21643">
        <w:rPr>
          <w:rFonts w:ascii="Palatino Linotype" w:hAnsi="Palatino Linotype" w:cs="Times New Roman"/>
          <w:b/>
          <w:sz w:val="20"/>
          <w:szCs w:val="20"/>
        </w:rPr>
        <w:t>3.2 Xây dựng thang đo kỹ năng ĐG quá trình cho SV ngành sư phạm Sinh học</w:t>
      </w:r>
    </w:p>
    <w:p w14:paraId="369C3D13" w14:textId="77777777" w:rsidR="00C21643" w:rsidRPr="00C21643" w:rsidRDefault="00C21643" w:rsidP="00C21643">
      <w:pPr>
        <w:spacing w:before="120" w:after="60" w:line="276" w:lineRule="auto"/>
        <w:ind w:firstLine="720"/>
        <w:jc w:val="both"/>
        <w:rPr>
          <w:rFonts w:ascii="Palatino Linotype" w:hAnsi="Palatino Linotype" w:cs="Times New Roman"/>
          <w:b/>
          <w:i/>
          <w:sz w:val="20"/>
          <w:szCs w:val="20"/>
        </w:rPr>
      </w:pPr>
      <w:r w:rsidRPr="00C21643">
        <w:rPr>
          <w:rFonts w:ascii="Palatino Linotype" w:hAnsi="Palatino Linotype" w:cs="Times New Roman"/>
          <w:sz w:val="20"/>
          <w:szCs w:val="20"/>
        </w:rPr>
        <w:t xml:space="preserve">Trên cơ sở phân tích các thang đo kỹ năng của Dave, Dreyfus, Harrow và Simpson </w:t>
      </w:r>
      <w:r w:rsidRPr="00C21643">
        <w:rPr>
          <w:rFonts w:ascii="Palatino Linotype" w:hAnsi="Palatino Linotype" w:cs="Times New Roman"/>
          <w:sz w:val="20"/>
          <w:szCs w:val="20"/>
        </w:rPr>
        <w:fldChar w:fldCharType="begin" w:fldLock="1"/>
      </w:r>
      <w:r w:rsidRPr="00C21643">
        <w:rPr>
          <w:rFonts w:ascii="Palatino Linotype" w:hAnsi="Palatino Linotype" w:cs="Times New Roman"/>
          <w:sz w:val="20"/>
          <w:szCs w:val="20"/>
        </w:rPr>
        <w:instrText>ADDIN CSL_CITATION {"citationItems":[{"id":"ITEM-1","itemData":{"author":[{"dropping-particle":"","family":"Dave","given":"R H","non-dropping-particle":"","parse-names":false,"suffix":""}],"id":"ITEM-1","issued":{"date-parts":[["1970"]]},"publisher":"Educational Innovators Press","title":"Developing and writing behavioural objectives","type":"book"},"uris":["http://www.mendeley.com/documents/?uuid=a6231e79-82b1-465e-a75a-8548940ddad2"]},{"id":"ITEM-2","itemData":{"ISBN":"0270-4676","author":[{"dropping-particle":"","family":"Dreyfus","given":"Stuart E","non-dropping-particle":"","parse-names":false,"suffix":""}],"container-title":"Bulletin of science, technology &amp; society","id":"ITEM-2","issue":"3","issued":{"date-parts":[["2004"]]},"page":"177-181","title":"The five-stage model of adult skill acquisition","type":"article-journal","volume":"24"},"uris":["http://www.mendeley.com/documents/?uuid=50bfdcbe-3185-420e-b671-37ca3b5cb31e"]},{"id":"ITEM-3","itemData":{"author":[{"dropping-particle":"","family":"Harrow","given":"Anita J","non-dropping-particle":"","parse-names":false,"suffix":""}],"id":"ITEM-3","issued":{"date-parts":[["1972"]]},"publisher":"Addison-Wesley Longman Ltd","title":"A taxonomy of the psychomotor domain: A guide for developing behavioral objectives","type":"book"},"uris":["http://www.mendeley.com/documents/?uuid=6950bdc1-402c-4228-ab60-f5aca548065c"]},{"id":"ITEM-4","itemData":{"author":[{"dropping-particle":"","family":"Simpson","given":"Elizabeth J","non-dropping-particle":"","parse-names":false,"suffix":""}],"id":"ITEM-4","issued":{"date-parts":[["1966"]]},"title":"The Classification of Educational Objectives, Psychomotor Domain","type":"article-journal"},"uris":["http://www.mendeley.com/documents/?uuid=b63dbfdb-87cf-4d46-b596-d95f263f55e1"]}],"mendeley":{"formattedCitation":"[15]–[18]","plainTextFormattedCitation":"[15]–[18]","previouslyFormattedCitation":"(Dave, 1970; Dreyfus, 2004; Harrow, 1972; Simpson, 1966)"},"properties":{"noteIndex":0},"schema":"https://github.com/citation-style-language/schema/raw/master/csl-citation.json"}</w:instrText>
      </w:r>
      <w:r w:rsidRPr="00C21643">
        <w:rPr>
          <w:rFonts w:ascii="Palatino Linotype" w:hAnsi="Palatino Linotype" w:cs="Times New Roman"/>
          <w:sz w:val="20"/>
          <w:szCs w:val="20"/>
        </w:rPr>
        <w:fldChar w:fldCharType="separate"/>
      </w:r>
      <w:r w:rsidRPr="00C21643">
        <w:rPr>
          <w:rFonts w:ascii="Palatino Linotype" w:hAnsi="Palatino Linotype" w:cs="Times New Roman"/>
          <w:noProof/>
          <w:sz w:val="20"/>
          <w:szCs w:val="20"/>
        </w:rPr>
        <w:t>[15]–[18]</w:t>
      </w:r>
      <w:r w:rsidRPr="00C21643">
        <w:rPr>
          <w:rFonts w:ascii="Palatino Linotype" w:hAnsi="Palatino Linotype" w:cs="Times New Roman"/>
          <w:sz w:val="20"/>
          <w:szCs w:val="20"/>
        </w:rPr>
        <w:fldChar w:fldCharType="end"/>
      </w:r>
      <w:r w:rsidRPr="00C21643">
        <w:rPr>
          <w:rFonts w:ascii="Palatino Linotype" w:hAnsi="Palatino Linotype" w:cs="Times New Roman"/>
          <w:sz w:val="20"/>
          <w:szCs w:val="20"/>
        </w:rPr>
        <w:t xml:space="preserve"> và tham khảo ý kiến chuyên gia, chúng tôi đưa ra một số nhận định sau để làm cơ sở cho việc đề xuất thang đo mức độ rèn luyện kỹ năng ĐGQT cho SV:</w:t>
      </w:r>
    </w:p>
    <w:p w14:paraId="22DFD932"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ab/>
        <w:t xml:space="preserve">- ĐG mức độ đạt được của kỹ năng cần dựa vào chỉ số hành </w:t>
      </w:r>
      <w:proofErr w:type="gramStart"/>
      <w:r w:rsidRPr="00C21643">
        <w:rPr>
          <w:rFonts w:ascii="Palatino Linotype" w:hAnsi="Palatino Linotype" w:cs="Times New Roman"/>
          <w:sz w:val="20"/>
          <w:szCs w:val="20"/>
        </w:rPr>
        <w:t>vi</w:t>
      </w:r>
      <w:proofErr w:type="gramEnd"/>
      <w:r w:rsidRPr="00C21643">
        <w:rPr>
          <w:rFonts w:ascii="Palatino Linotype" w:hAnsi="Palatino Linotype" w:cs="Times New Roman"/>
          <w:sz w:val="20"/>
          <w:szCs w:val="20"/>
        </w:rPr>
        <w:t xml:space="preserve"> biểu hiện của người học. </w:t>
      </w:r>
      <w:proofErr w:type="gramStart"/>
      <w:r w:rsidRPr="00C21643">
        <w:rPr>
          <w:rFonts w:ascii="Palatino Linotype" w:hAnsi="Palatino Linotype" w:cs="Times New Roman"/>
          <w:sz w:val="20"/>
          <w:szCs w:val="20"/>
        </w:rPr>
        <w:t>Tuy nhiên, việc phát triển kỹ năng cần gắn liền với nền tảng kiến thức về hành động, ý nghĩa của hành động trong bối cảnh thực.</w:t>
      </w:r>
      <w:proofErr w:type="gramEnd"/>
    </w:p>
    <w:p w14:paraId="009C1E19"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ab/>
        <w:t xml:space="preserve">- Mức độ thấp nhất của kỹ năng thể hiện ở việc thực hiện thao tác hành động một cách rập khuôn, máy móc </w:t>
      </w:r>
      <w:proofErr w:type="gramStart"/>
      <w:r w:rsidRPr="00C21643">
        <w:rPr>
          <w:rFonts w:ascii="Palatino Linotype" w:hAnsi="Palatino Linotype" w:cs="Times New Roman"/>
          <w:sz w:val="20"/>
          <w:szCs w:val="20"/>
        </w:rPr>
        <w:t>theo</w:t>
      </w:r>
      <w:proofErr w:type="gramEnd"/>
      <w:r w:rsidRPr="00C21643">
        <w:rPr>
          <w:rFonts w:ascii="Palatino Linotype" w:hAnsi="Palatino Linotype" w:cs="Times New Roman"/>
          <w:sz w:val="20"/>
          <w:szCs w:val="20"/>
        </w:rPr>
        <w:t xml:space="preserve"> sự chỉ dẫn. Các mức độ cao hơn của kỹ năng đạt được khi có sự gia tăng về độ chính xác, tính trôi chảy của hành động. </w:t>
      </w:r>
      <w:proofErr w:type="gramStart"/>
      <w:r w:rsidRPr="00C21643">
        <w:rPr>
          <w:rFonts w:ascii="Palatino Linotype" w:hAnsi="Palatino Linotype" w:cs="Times New Roman"/>
          <w:sz w:val="20"/>
          <w:szCs w:val="20"/>
        </w:rPr>
        <w:t>Thêm vào đó, mức độ kỹ năng càng cao thì nhận thức của người học về cách thức hành động, về ý nghĩa của hành động trong bối cảnh thực ngày càng tăng.</w:t>
      </w:r>
      <w:proofErr w:type="gramEnd"/>
      <w:r w:rsidRPr="00C21643">
        <w:rPr>
          <w:rFonts w:ascii="Palatino Linotype" w:hAnsi="Palatino Linotype" w:cs="Times New Roman"/>
          <w:sz w:val="20"/>
          <w:szCs w:val="20"/>
        </w:rPr>
        <w:t xml:space="preserve"> Tuy nhiên, đối với kỹ năng phức tạp như ĐGQT, việc bắt đầu từ thao tác máy móc </w:t>
      </w:r>
      <w:proofErr w:type="gramStart"/>
      <w:r w:rsidRPr="00C21643">
        <w:rPr>
          <w:rFonts w:ascii="Palatino Linotype" w:hAnsi="Palatino Linotype" w:cs="Times New Roman"/>
          <w:sz w:val="20"/>
          <w:szCs w:val="20"/>
        </w:rPr>
        <w:t>theo</w:t>
      </w:r>
      <w:proofErr w:type="gramEnd"/>
      <w:r w:rsidRPr="00C21643">
        <w:rPr>
          <w:rFonts w:ascii="Palatino Linotype" w:hAnsi="Palatino Linotype" w:cs="Times New Roman"/>
          <w:sz w:val="20"/>
          <w:szCs w:val="20"/>
        </w:rPr>
        <w:t xml:space="preserve"> người hướng dẫn mà không dựa trên sự hiểu biết về vai trò và ý nghĩa của hành động là không hợp lý và không có ý nghĩa về mặt sư phạm. Do đó, chúng tôi xác định rằng ngay từ cấp độ thấp nhất, người học cũng cần được trang bị những hiểu biết cơ bản về ý nghĩa của hành động.</w:t>
      </w:r>
    </w:p>
    <w:p w14:paraId="003B4AC6"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ab/>
        <w:t>- Mức độ cao nhất của kỹ năng trong các thang đo của Dave, Harrow, Simpson và Deyfrus đạt được chỉ khi có sự luyện tập và trải nghiệm trong bối cảnh thực tế lâu dài. Do đó, mức độ này khó có thể đạt được khi rèn luyện kỹ năng cho SV trong trường sư phạm.</w:t>
      </w:r>
    </w:p>
    <w:p w14:paraId="7DB04F6A"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ab/>
        <w:t>Trên cơ sở đó, chúng tôi xây dựng thang đo các mức độ phát triển của kỹ năng ĐGQT khi rèn luyện kỹ năng này cho SV gồm 3 mức độ với các biểu hiện như sau:</w:t>
      </w:r>
    </w:p>
    <w:p w14:paraId="6FE397C4" w14:textId="5A1B3B3D" w:rsidR="00C21643" w:rsidRPr="00C21643" w:rsidRDefault="00C21643" w:rsidP="00C21643">
      <w:pPr>
        <w:spacing w:before="120" w:after="60" w:line="276" w:lineRule="auto"/>
        <w:jc w:val="center"/>
        <w:rPr>
          <w:rFonts w:ascii="Palatino Linotype" w:hAnsi="Palatino Linotype" w:cs="Times New Roman"/>
          <w:i/>
          <w:sz w:val="20"/>
          <w:szCs w:val="20"/>
        </w:rPr>
      </w:pPr>
      <w:r>
        <w:rPr>
          <w:rFonts w:ascii="Palatino Linotype" w:hAnsi="Palatino Linotype" w:cs="Times New Roman"/>
          <w:sz w:val="20"/>
          <w:szCs w:val="20"/>
        </w:rPr>
        <w:br w:type="column"/>
      </w:r>
      <w:proofErr w:type="gramStart"/>
      <w:r w:rsidRPr="00C21643">
        <w:rPr>
          <w:rFonts w:ascii="Palatino Linotype" w:hAnsi="Palatino Linotype" w:cs="Times New Roman"/>
          <w:sz w:val="20"/>
          <w:szCs w:val="20"/>
        </w:rPr>
        <w:lastRenderedPageBreak/>
        <w:t>Bảng 2.</w:t>
      </w:r>
      <w:proofErr w:type="gramEnd"/>
      <w:r w:rsidRPr="00C21643">
        <w:rPr>
          <w:rFonts w:ascii="Palatino Linotype" w:hAnsi="Palatino Linotype" w:cs="Times New Roman"/>
          <w:sz w:val="20"/>
          <w:szCs w:val="20"/>
        </w:rPr>
        <w:t xml:space="preserve"> </w:t>
      </w:r>
      <w:r w:rsidRPr="00C21643">
        <w:rPr>
          <w:rFonts w:ascii="Palatino Linotype" w:hAnsi="Palatino Linotype" w:cs="Times New Roman"/>
          <w:i/>
          <w:sz w:val="20"/>
          <w:szCs w:val="20"/>
        </w:rPr>
        <w:t>Thang đo mức độ phát triển kỹ năng ĐG quá trình đối với SV sư phạm</w:t>
      </w:r>
    </w:p>
    <w:tbl>
      <w:tblPr>
        <w:tblStyle w:val="TableGrid"/>
        <w:tblW w:w="4866" w:type="pct"/>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5"/>
        <w:gridCol w:w="1809"/>
        <w:gridCol w:w="6043"/>
      </w:tblGrid>
      <w:tr w:rsidR="00C21643" w:rsidRPr="00C21643" w14:paraId="1B213062" w14:textId="77777777" w:rsidTr="00C21643">
        <w:tc>
          <w:tcPr>
            <w:tcW w:w="374" w:type="pct"/>
          </w:tcPr>
          <w:p w14:paraId="0942311E" w14:textId="77777777" w:rsidR="00C21643" w:rsidRPr="00C21643" w:rsidRDefault="00C21643" w:rsidP="00C21643">
            <w:pPr>
              <w:spacing w:before="120" w:after="60" w:line="276" w:lineRule="auto"/>
              <w:jc w:val="center"/>
              <w:rPr>
                <w:rFonts w:ascii="Palatino Linotype" w:hAnsi="Palatino Linotype" w:cs="Times New Roman"/>
                <w:b/>
                <w:sz w:val="20"/>
                <w:szCs w:val="20"/>
              </w:rPr>
            </w:pPr>
            <w:r w:rsidRPr="00C21643">
              <w:rPr>
                <w:rFonts w:ascii="Palatino Linotype" w:hAnsi="Palatino Linotype" w:cs="Times New Roman"/>
                <w:b/>
                <w:sz w:val="20"/>
                <w:szCs w:val="20"/>
              </w:rPr>
              <w:t>STT</w:t>
            </w:r>
          </w:p>
        </w:tc>
        <w:tc>
          <w:tcPr>
            <w:tcW w:w="1066" w:type="pct"/>
          </w:tcPr>
          <w:p w14:paraId="4B630990" w14:textId="77777777" w:rsidR="00C21643" w:rsidRPr="00C21643" w:rsidRDefault="00C21643" w:rsidP="00C21643">
            <w:pPr>
              <w:spacing w:before="120" w:after="60" w:line="276" w:lineRule="auto"/>
              <w:jc w:val="center"/>
              <w:rPr>
                <w:rFonts w:ascii="Palatino Linotype" w:hAnsi="Palatino Linotype" w:cs="Times New Roman"/>
                <w:b/>
                <w:sz w:val="20"/>
                <w:szCs w:val="20"/>
              </w:rPr>
            </w:pPr>
            <w:r w:rsidRPr="00C21643">
              <w:rPr>
                <w:rFonts w:ascii="Palatino Linotype" w:hAnsi="Palatino Linotype" w:cs="Times New Roman"/>
                <w:b/>
                <w:sz w:val="20"/>
                <w:szCs w:val="20"/>
              </w:rPr>
              <w:t>Mức độ kỹ năng</w:t>
            </w:r>
          </w:p>
        </w:tc>
        <w:tc>
          <w:tcPr>
            <w:tcW w:w="3560" w:type="pct"/>
          </w:tcPr>
          <w:p w14:paraId="3172C5F6" w14:textId="77777777" w:rsidR="00C21643" w:rsidRPr="00C21643" w:rsidRDefault="00C21643" w:rsidP="00C21643">
            <w:pPr>
              <w:spacing w:before="120" w:after="60" w:line="276" w:lineRule="auto"/>
              <w:jc w:val="center"/>
              <w:rPr>
                <w:rFonts w:ascii="Palatino Linotype" w:hAnsi="Palatino Linotype" w:cs="Times New Roman"/>
                <w:b/>
                <w:sz w:val="20"/>
                <w:szCs w:val="20"/>
              </w:rPr>
            </w:pPr>
            <w:r w:rsidRPr="00C21643">
              <w:rPr>
                <w:rFonts w:ascii="Palatino Linotype" w:hAnsi="Palatino Linotype" w:cs="Times New Roman"/>
                <w:b/>
                <w:sz w:val="20"/>
                <w:szCs w:val="20"/>
              </w:rPr>
              <w:t>Mô tả biểu hiện</w:t>
            </w:r>
          </w:p>
        </w:tc>
      </w:tr>
      <w:tr w:rsidR="00C21643" w:rsidRPr="00C21643" w14:paraId="06319DD4" w14:textId="77777777" w:rsidTr="00C21643">
        <w:tc>
          <w:tcPr>
            <w:tcW w:w="374" w:type="pct"/>
          </w:tcPr>
          <w:p w14:paraId="6349D40D" w14:textId="77777777" w:rsidR="00C21643" w:rsidRPr="00C21643" w:rsidRDefault="00C21643" w:rsidP="00C21643">
            <w:pPr>
              <w:spacing w:before="120" w:after="60" w:line="276" w:lineRule="auto"/>
              <w:jc w:val="center"/>
              <w:rPr>
                <w:rFonts w:ascii="Palatino Linotype" w:hAnsi="Palatino Linotype" w:cs="Times New Roman"/>
                <w:sz w:val="20"/>
                <w:szCs w:val="20"/>
              </w:rPr>
            </w:pPr>
            <w:r w:rsidRPr="00C21643">
              <w:rPr>
                <w:rFonts w:ascii="Palatino Linotype" w:hAnsi="Palatino Linotype" w:cs="Times New Roman"/>
                <w:sz w:val="20"/>
                <w:szCs w:val="20"/>
              </w:rPr>
              <w:t>1</w:t>
            </w:r>
          </w:p>
        </w:tc>
        <w:tc>
          <w:tcPr>
            <w:tcW w:w="1066" w:type="pct"/>
          </w:tcPr>
          <w:p w14:paraId="2258D642" w14:textId="77777777" w:rsidR="00C21643" w:rsidRPr="00C21643" w:rsidRDefault="00C21643" w:rsidP="00C21643">
            <w:pPr>
              <w:spacing w:before="120" w:after="60" w:line="276" w:lineRule="auto"/>
              <w:jc w:val="center"/>
              <w:rPr>
                <w:rFonts w:ascii="Palatino Linotype" w:hAnsi="Palatino Linotype" w:cs="Times New Roman"/>
                <w:sz w:val="20"/>
                <w:szCs w:val="20"/>
              </w:rPr>
            </w:pPr>
            <w:r w:rsidRPr="00C21643">
              <w:rPr>
                <w:rFonts w:ascii="Palatino Linotype" w:hAnsi="Palatino Linotype" w:cs="Times New Roman"/>
                <w:sz w:val="20"/>
                <w:szCs w:val="20"/>
              </w:rPr>
              <w:t>Sơ khởi</w:t>
            </w:r>
          </w:p>
        </w:tc>
        <w:tc>
          <w:tcPr>
            <w:tcW w:w="3560" w:type="pct"/>
          </w:tcPr>
          <w:p w14:paraId="45206C28"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 xml:space="preserve">- Thực hiện các thao tác theo tuần tự khi có sự hướng dẫn, giám sát.  </w:t>
            </w:r>
          </w:p>
          <w:p w14:paraId="07E20DA1"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 Có sự hiểu biết sơ lược về hành động, tuy nhiên, vẫn xem hành động là các bước đơn lẻ rời rạc và không gắn với một ngữ cảnh thực.</w:t>
            </w:r>
          </w:p>
        </w:tc>
      </w:tr>
      <w:tr w:rsidR="00C21643" w:rsidRPr="00C21643" w14:paraId="2583A7A0" w14:textId="77777777" w:rsidTr="00C21643">
        <w:tc>
          <w:tcPr>
            <w:tcW w:w="374" w:type="pct"/>
          </w:tcPr>
          <w:p w14:paraId="3880744E" w14:textId="77777777" w:rsidR="00C21643" w:rsidRPr="00C21643" w:rsidRDefault="00C21643" w:rsidP="00C21643">
            <w:pPr>
              <w:spacing w:before="120" w:after="60" w:line="276" w:lineRule="auto"/>
              <w:jc w:val="center"/>
              <w:rPr>
                <w:rFonts w:ascii="Palatino Linotype" w:hAnsi="Palatino Linotype" w:cs="Times New Roman"/>
                <w:sz w:val="20"/>
                <w:szCs w:val="20"/>
              </w:rPr>
            </w:pPr>
            <w:r w:rsidRPr="00C21643">
              <w:rPr>
                <w:rFonts w:ascii="Palatino Linotype" w:hAnsi="Palatino Linotype" w:cs="Times New Roman"/>
                <w:sz w:val="20"/>
                <w:szCs w:val="20"/>
              </w:rPr>
              <w:t>2</w:t>
            </w:r>
          </w:p>
        </w:tc>
        <w:tc>
          <w:tcPr>
            <w:tcW w:w="1066" w:type="pct"/>
          </w:tcPr>
          <w:p w14:paraId="32FAA735" w14:textId="77777777" w:rsidR="00C21643" w:rsidRPr="00C21643" w:rsidRDefault="00C21643" w:rsidP="00C21643">
            <w:pPr>
              <w:spacing w:before="120" w:after="60" w:line="276" w:lineRule="auto"/>
              <w:jc w:val="center"/>
              <w:rPr>
                <w:rFonts w:ascii="Palatino Linotype" w:hAnsi="Palatino Linotype" w:cs="Times New Roman"/>
                <w:sz w:val="20"/>
                <w:szCs w:val="20"/>
              </w:rPr>
            </w:pPr>
            <w:r w:rsidRPr="00C21643">
              <w:rPr>
                <w:rFonts w:ascii="Palatino Linotype" w:hAnsi="Palatino Linotype" w:cs="Times New Roman"/>
                <w:sz w:val="20"/>
                <w:szCs w:val="20"/>
              </w:rPr>
              <w:t>Có kỹ năng</w:t>
            </w:r>
          </w:p>
        </w:tc>
        <w:tc>
          <w:tcPr>
            <w:tcW w:w="3560" w:type="pct"/>
          </w:tcPr>
          <w:p w14:paraId="54ED720C"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 Thực hiện thao tác hành động mà không cần có sự hướng dẫn và đạt được tiêu chuẩn nhất định.</w:t>
            </w:r>
          </w:p>
          <w:p w14:paraId="343D0F60"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 xml:space="preserve">- Có hiểu biết cơ bản về hành động, có thể gắn hành động với ngữ cảnh thực tuy chưa toàn diện. </w:t>
            </w:r>
          </w:p>
        </w:tc>
      </w:tr>
      <w:tr w:rsidR="00C21643" w:rsidRPr="00C21643" w14:paraId="278DCB9B" w14:textId="77777777" w:rsidTr="00C21643">
        <w:tc>
          <w:tcPr>
            <w:tcW w:w="374" w:type="pct"/>
          </w:tcPr>
          <w:p w14:paraId="46C25F1F" w14:textId="77777777" w:rsidR="00C21643" w:rsidRPr="00C21643" w:rsidRDefault="00C21643" w:rsidP="00C21643">
            <w:pPr>
              <w:spacing w:before="120" w:after="60" w:line="276" w:lineRule="auto"/>
              <w:jc w:val="center"/>
              <w:rPr>
                <w:rFonts w:ascii="Palatino Linotype" w:hAnsi="Palatino Linotype" w:cs="Times New Roman"/>
                <w:sz w:val="20"/>
                <w:szCs w:val="20"/>
              </w:rPr>
            </w:pPr>
            <w:r w:rsidRPr="00C21643">
              <w:rPr>
                <w:rFonts w:ascii="Palatino Linotype" w:hAnsi="Palatino Linotype" w:cs="Times New Roman"/>
                <w:sz w:val="20"/>
                <w:szCs w:val="20"/>
              </w:rPr>
              <w:t>3</w:t>
            </w:r>
          </w:p>
        </w:tc>
        <w:tc>
          <w:tcPr>
            <w:tcW w:w="1066" w:type="pct"/>
          </w:tcPr>
          <w:p w14:paraId="29C7F25E" w14:textId="77777777" w:rsidR="00C21643" w:rsidRPr="00C21643" w:rsidRDefault="00C21643" w:rsidP="00C21643">
            <w:pPr>
              <w:spacing w:before="120" w:after="60" w:line="276" w:lineRule="auto"/>
              <w:jc w:val="center"/>
              <w:rPr>
                <w:rFonts w:ascii="Palatino Linotype" w:hAnsi="Palatino Linotype" w:cs="Times New Roman"/>
                <w:sz w:val="20"/>
                <w:szCs w:val="20"/>
              </w:rPr>
            </w:pPr>
            <w:r w:rsidRPr="00C21643">
              <w:rPr>
                <w:rFonts w:ascii="Palatino Linotype" w:hAnsi="Palatino Linotype" w:cs="Times New Roman"/>
                <w:sz w:val="20"/>
                <w:szCs w:val="20"/>
              </w:rPr>
              <w:t>Thành thạo</w:t>
            </w:r>
          </w:p>
        </w:tc>
        <w:tc>
          <w:tcPr>
            <w:tcW w:w="3560" w:type="pct"/>
          </w:tcPr>
          <w:p w14:paraId="76A9CC46"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 Các thao tác hành động thuần thục và đạt tiêu chuẩn cao thường xuyên.</w:t>
            </w:r>
          </w:p>
          <w:p w14:paraId="6B0E883F" w14:textId="77777777" w:rsidR="00C21643" w:rsidRPr="00C21643" w:rsidRDefault="00C21643" w:rsidP="00C21643">
            <w:pPr>
              <w:spacing w:before="120" w:after="60"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 Có hiểu biết toàn diện về hành động và thực hiện hành động trong bối cảnh thực đạt hiệu quả.</w:t>
            </w:r>
          </w:p>
        </w:tc>
      </w:tr>
    </w:tbl>
    <w:p w14:paraId="05C8B063" w14:textId="77777777" w:rsidR="00C21643" w:rsidRPr="00C21643" w:rsidRDefault="00C21643" w:rsidP="00C21643">
      <w:pPr>
        <w:spacing w:before="120" w:after="60" w:line="276" w:lineRule="auto"/>
        <w:jc w:val="both"/>
        <w:rPr>
          <w:rFonts w:ascii="Palatino Linotype" w:hAnsi="Palatino Linotype" w:cs="Times New Roman"/>
          <w:b/>
          <w:sz w:val="20"/>
          <w:szCs w:val="20"/>
        </w:rPr>
      </w:pPr>
      <w:r w:rsidRPr="00C21643">
        <w:rPr>
          <w:rFonts w:ascii="Palatino Linotype" w:hAnsi="Palatino Linotype" w:cs="Times New Roman"/>
          <w:b/>
          <w:sz w:val="20"/>
          <w:szCs w:val="20"/>
        </w:rPr>
        <w:t>2.3 Xây dựng tiêu chí ĐG cho các kỹ năng thành phần của ĐG quá trình</w:t>
      </w:r>
    </w:p>
    <w:p w14:paraId="7F23667B" w14:textId="77777777" w:rsidR="00C21643" w:rsidRPr="00C21643" w:rsidRDefault="00C21643" w:rsidP="00C21643">
      <w:pPr>
        <w:spacing w:before="120" w:after="60" w:line="276" w:lineRule="auto"/>
        <w:ind w:firstLine="720"/>
        <w:jc w:val="both"/>
        <w:rPr>
          <w:rFonts w:ascii="Palatino Linotype" w:hAnsi="Palatino Linotype" w:cs="Times New Roman"/>
          <w:b/>
          <w:sz w:val="20"/>
          <w:szCs w:val="20"/>
        </w:rPr>
      </w:pPr>
      <w:r w:rsidRPr="00C21643">
        <w:rPr>
          <w:rFonts w:ascii="Palatino Linotype" w:hAnsi="Palatino Linotype" w:cs="Times New Roman"/>
          <w:sz w:val="20"/>
          <w:szCs w:val="20"/>
        </w:rPr>
        <w:t xml:space="preserve">Để đo lường mức độ đạt được kỹ năng ĐGQT trong quá trình rèn luyện kỹ năng này cho </w:t>
      </w:r>
      <w:r w:rsidRPr="00C21643">
        <w:rPr>
          <w:rFonts w:ascii="Palatino Linotype" w:hAnsi="Palatino Linotype" w:cs="Times New Roman"/>
          <w:color w:val="000000" w:themeColor="text1"/>
          <w:sz w:val="20"/>
          <w:szCs w:val="20"/>
        </w:rPr>
        <w:t>SV, chúng tôi xây dựng hệ thống tiêu chí ĐG cho từng kỹ năng thành phần dưới dạng bộ tiêu chí Rubric</w:t>
      </w:r>
      <w:r w:rsidRPr="00C21643">
        <w:rPr>
          <w:rFonts w:ascii="Palatino Linotype" w:hAnsi="Palatino Linotype" w:cs="Times New Roman"/>
          <w:sz w:val="20"/>
          <w:szCs w:val="20"/>
        </w:rPr>
        <w:t>.</w:t>
      </w:r>
      <w:r w:rsidRPr="00C21643">
        <w:rPr>
          <w:rFonts w:ascii="Palatino Linotype" w:hAnsi="Palatino Linotype" w:cs="Times New Roman"/>
          <w:b/>
          <w:i/>
          <w:sz w:val="20"/>
          <w:szCs w:val="20"/>
        </w:rPr>
        <w:tab/>
      </w:r>
    </w:p>
    <w:p w14:paraId="0C1F7672" w14:textId="77777777" w:rsidR="00C21643" w:rsidRPr="00C21643" w:rsidRDefault="00C21643" w:rsidP="00C21643">
      <w:pPr>
        <w:spacing w:before="120" w:after="60" w:line="276" w:lineRule="auto"/>
        <w:ind w:firstLine="720"/>
        <w:jc w:val="both"/>
        <w:rPr>
          <w:rFonts w:ascii="Palatino Linotype" w:hAnsi="Palatino Linotype" w:cs="Times New Roman"/>
          <w:sz w:val="20"/>
          <w:szCs w:val="20"/>
        </w:rPr>
      </w:pPr>
      <w:r w:rsidRPr="00C21643">
        <w:rPr>
          <w:rFonts w:ascii="Palatino Linotype" w:hAnsi="Palatino Linotype" w:cs="Times New Roman"/>
          <w:sz w:val="20"/>
          <w:szCs w:val="20"/>
        </w:rPr>
        <w:t xml:space="preserve">Bộ tiêu chí được xây dựng dựa trên thang đo 3 mức độ phát triển kỹ năng ĐGQT đề xuất (Bảng 2) và cấu trúc thành phần của kỹ năng ĐGQT (Bảng 1). Bộ tiêu chí gồm 3 mức độ từ thấp đến cao, tương ứng với mức </w:t>
      </w:r>
      <w:proofErr w:type="gramStart"/>
      <w:r w:rsidRPr="00C21643">
        <w:rPr>
          <w:rFonts w:ascii="Palatino Linotype" w:hAnsi="Palatino Linotype" w:cs="Times New Roman"/>
          <w:sz w:val="20"/>
          <w:szCs w:val="20"/>
        </w:rPr>
        <w:t>Sơ</w:t>
      </w:r>
      <w:proofErr w:type="gramEnd"/>
      <w:r w:rsidRPr="00C21643">
        <w:rPr>
          <w:rFonts w:ascii="Palatino Linotype" w:hAnsi="Palatino Linotype" w:cs="Times New Roman"/>
          <w:sz w:val="20"/>
          <w:szCs w:val="20"/>
        </w:rPr>
        <w:t xml:space="preserve"> khởi, Có kỹ năng và Thành thạo trong thang đo. Bộ tiêu chí sau khi thử nghiệm và hoàn chỉnh như sau:</w:t>
      </w:r>
    </w:p>
    <w:p w14:paraId="2E0FAD56" w14:textId="77777777" w:rsidR="00C21643" w:rsidRPr="00C21643" w:rsidRDefault="00C21643" w:rsidP="00C21643">
      <w:pPr>
        <w:spacing w:before="120" w:after="60" w:line="276" w:lineRule="auto"/>
        <w:ind w:firstLine="720"/>
        <w:jc w:val="center"/>
        <w:rPr>
          <w:rFonts w:ascii="Palatino Linotype" w:hAnsi="Palatino Linotype" w:cs="Times New Roman"/>
          <w:sz w:val="20"/>
          <w:szCs w:val="20"/>
        </w:rPr>
      </w:pPr>
      <w:r w:rsidRPr="00C21643">
        <w:rPr>
          <w:rFonts w:ascii="Palatino Linotype" w:hAnsi="Palatino Linotype" w:cs="Times New Roman"/>
          <w:i/>
          <w:sz w:val="20"/>
          <w:szCs w:val="20"/>
        </w:rPr>
        <w:t xml:space="preserve">Bảng 3: </w:t>
      </w:r>
      <w:r w:rsidRPr="00C21643">
        <w:rPr>
          <w:rFonts w:ascii="Palatino Linotype" w:hAnsi="Palatino Linotype" w:cs="Times New Roman"/>
          <w:sz w:val="20"/>
          <w:szCs w:val="20"/>
        </w:rPr>
        <w:t>Bộ tiêu chí đo lường các kỹ năng thành phần của ĐGQT</w:t>
      </w:r>
    </w:p>
    <w:tbl>
      <w:tblPr>
        <w:tblStyle w:val="TableGrid"/>
        <w:tblW w:w="4876" w:type="pct"/>
        <w:tblInd w:w="108" w:type="dxa"/>
        <w:tblLook w:val="04A0" w:firstRow="1" w:lastRow="0" w:firstColumn="1" w:lastColumn="0" w:noHBand="0" w:noVBand="1"/>
      </w:tblPr>
      <w:tblGrid>
        <w:gridCol w:w="1672"/>
        <w:gridCol w:w="2419"/>
        <w:gridCol w:w="2204"/>
        <w:gridCol w:w="2210"/>
      </w:tblGrid>
      <w:tr w:rsidR="00C21643" w:rsidRPr="00C21643" w14:paraId="506C8F7E" w14:textId="77777777" w:rsidTr="00C21643">
        <w:tc>
          <w:tcPr>
            <w:tcW w:w="983" w:type="pct"/>
            <w:vMerge w:val="restart"/>
            <w:shd w:val="pct10" w:color="auto" w:fill="auto"/>
            <w:vAlign w:val="center"/>
          </w:tcPr>
          <w:p w14:paraId="2A797F61" w14:textId="77777777" w:rsidR="00C21643" w:rsidRPr="00C21643" w:rsidRDefault="00C21643" w:rsidP="00C21643">
            <w:pPr>
              <w:spacing w:line="276" w:lineRule="auto"/>
              <w:jc w:val="center"/>
              <w:rPr>
                <w:rFonts w:ascii="Palatino Linotype" w:hAnsi="Palatino Linotype" w:cs="Times New Roman"/>
                <w:sz w:val="20"/>
                <w:szCs w:val="20"/>
              </w:rPr>
            </w:pPr>
            <w:r w:rsidRPr="00C21643">
              <w:rPr>
                <w:rFonts w:ascii="Palatino Linotype" w:hAnsi="Palatino Linotype" w:cs="Times New Roman"/>
                <w:sz w:val="20"/>
                <w:szCs w:val="20"/>
              </w:rPr>
              <w:t>Kỹ năng thành phần</w:t>
            </w:r>
          </w:p>
        </w:tc>
        <w:tc>
          <w:tcPr>
            <w:tcW w:w="4017" w:type="pct"/>
            <w:gridSpan w:val="3"/>
            <w:tcBorders>
              <w:bottom w:val="single" w:sz="4" w:space="0" w:color="auto"/>
            </w:tcBorders>
            <w:shd w:val="pct10" w:color="auto" w:fill="auto"/>
          </w:tcPr>
          <w:p w14:paraId="12187C7D" w14:textId="77777777" w:rsidR="00C21643" w:rsidRPr="00C21643" w:rsidRDefault="00C21643" w:rsidP="00C21643">
            <w:pPr>
              <w:spacing w:line="276" w:lineRule="auto"/>
              <w:jc w:val="center"/>
              <w:rPr>
                <w:rFonts w:ascii="Palatino Linotype" w:hAnsi="Palatino Linotype" w:cs="Times New Roman"/>
                <w:sz w:val="20"/>
                <w:szCs w:val="20"/>
              </w:rPr>
            </w:pPr>
            <w:r w:rsidRPr="00C21643">
              <w:rPr>
                <w:rFonts w:ascii="Palatino Linotype" w:hAnsi="Palatino Linotype" w:cs="Times New Roman"/>
                <w:sz w:val="20"/>
                <w:szCs w:val="20"/>
              </w:rPr>
              <w:t>Mức độ đạt được của kỹ năng</w:t>
            </w:r>
          </w:p>
        </w:tc>
      </w:tr>
      <w:tr w:rsidR="00C21643" w:rsidRPr="00C21643" w14:paraId="6BA96F96" w14:textId="77777777" w:rsidTr="00C21643">
        <w:tc>
          <w:tcPr>
            <w:tcW w:w="983" w:type="pct"/>
            <w:vMerge/>
          </w:tcPr>
          <w:p w14:paraId="6FC9A492" w14:textId="77777777" w:rsidR="00C21643" w:rsidRPr="00C21643" w:rsidRDefault="00C21643" w:rsidP="00C21643">
            <w:pPr>
              <w:spacing w:line="276" w:lineRule="auto"/>
              <w:jc w:val="both"/>
              <w:rPr>
                <w:rFonts w:ascii="Palatino Linotype" w:hAnsi="Palatino Linotype" w:cs="Times New Roman"/>
                <w:sz w:val="20"/>
                <w:szCs w:val="20"/>
              </w:rPr>
            </w:pPr>
          </w:p>
        </w:tc>
        <w:tc>
          <w:tcPr>
            <w:tcW w:w="1422" w:type="pct"/>
            <w:shd w:val="pct5" w:color="auto" w:fill="auto"/>
          </w:tcPr>
          <w:p w14:paraId="25BB600A" w14:textId="77777777" w:rsidR="00C21643" w:rsidRPr="00C21643" w:rsidRDefault="00C21643" w:rsidP="00C21643">
            <w:pPr>
              <w:spacing w:line="276" w:lineRule="auto"/>
              <w:jc w:val="center"/>
              <w:rPr>
                <w:rFonts w:ascii="Palatino Linotype" w:hAnsi="Palatino Linotype" w:cs="Times New Roman"/>
                <w:sz w:val="20"/>
                <w:szCs w:val="20"/>
              </w:rPr>
            </w:pPr>
            <w:r w:rsidRPr="00C21643">
              <w:rPr>
                <w:rFonts w:ascii="Palatino Linotype" w:hAnsi="Palatino Linotype" w:cs="Times New Roman"/>
                <w:sz w:val="20"/>
                <w:szCs w:val="20"/>
              </w:rPr>
              <w:t>Mức 3</w:t>
            </w:r>
          </w:p>
          <w:p w14:paraId="206021CC" w14:textId="77777777" w:rsidR="00C21643" w:rsidRPr="00C21643" w:rsidRDefault="00C21643" w:rsidP="00C21643">
            <w:pPr>
              <w:spacing w:line="276" w:lineRule="auto"/>
              <w:jc w:val="center"/>
              <w:rPr>
                <w:rFonts w:ascii="Palatino Linotype" w:hAnsi="Palatino Linotype" w:cs="Times New Roman"/>
                <w:sz w:val="20"/>
                <w:szCs w:val="20"/>
              </w:rPr>
            </w:pPr>
            <w:r w:rsidRPr="00C21643">
              <w:rPr>
                <w:rFonts w:ascii="Palatino Linotype" w:hAnsi="Palatino Linotype" w:cs="Times New Roman"/>
                <w:sz w:val="20"/>
                <w:szCs w:val="20"/>
              </w:rPr>
              <w:t>(Thành thạo)</w:t>
            </w:r>
          </w:p>
        </w:tc>
        <w:tc>
          <w:tcPr>
            <w:tcW w:w="1296" w:type="pct"/>
            <w:shd w:val="pct5" w:color="auto" w:fill="auto"/>
          </w:tcPr>
          <w:p w14:paraId="22FD517F" w14:textId="77777777" w:rsidR="00C21643" w:rsidRPr="00C21643" w:rsidRDefault="00C21643" w:rsidP="00C21643">
            <w:pPr>
              <w:spacing w:line="276" w:lineRule="auto"/>
              <w:jc w:val="center"/>
              <w:rPr>
                <w:rFonts w:ascii="Palatino Linotype" w:hAnsi="Palatino Linotype" w:cs="Times New Roman"/>
                <w:sz w:val="20"/>
                <w:szCs w:val="20"/>
              </w:rPr>
            </w:pPr>
            <w:r w:rsidRPr="00C21643">
              <w:rPr>
                <w:rFonts w:ascii="Palatino Linotype" w:hAnsi="Palatino Linotype" w:cs="Times New Roman"/>
                <w:sz w:val="20"/>
                <w:szCs w:val="20"/>
              </w:rPr>
              <w:t>Mức 2</w:t>
            </w:r>
          </w:p>
          <w:p w14:paraId="6B2C4C6D" w14:textId="77777777" w:rsidR="00C21643" w:rsidRPr="00C21643" w:rsidRDefault="00C21643" w:rsidP="00C21643">
            <w:pPr>
              <w:spacing w:line="276" w:lineRule="auto"/>
              <w:jc w:val="center"/>
              <w:rPr>
                <w:rFonts w:ascii="Palatino Linotype" w:hAnsi="Palatino Linotype" w:cs="Times New Roman"/>
                <w:sz w:val="20"/>
                <w:szCs w:val="20"/>
              </w:rPr>
            </w:pPr>
            <w:r w:rsidRPr="00C21643">
              <w:rPr>
                <w:rFonts w:ascii="Palatino Linotype" w:hAnsi="Palatino Linotype" w:cs="Times New Roman"/>
                <w:sz w:val="20"/>
                <w:szCs w:val="20"/>
              </w:rPr>
              <w:t>(Có kỹ năng)</w:t>
            </w:r>
          </w:p>
        </w:tc>
        <w:tc>
          <w:tcPr>
            <w:tcW w:w="1299" w:type="pct"/>
            <w:shd w:val="pct5" w:color="auto" w:fill="auto"/>
          </w:tcPr>
          <w:p w14:paraId="1D7CE2E4" w14:textId="77777777" w:rsidR="00C21643" w:rsidRPr="00C21643" w:rsidRDefault="00C21643" w:rsidP="00C21643">
            <w:pPr>
              <w:spacing w:line="276" w:lineRule="auto"/>
              <w:jc w:val="center"/>
              <w:rPr>
                <w:rFonts w:ascii="Palatino Linotype" w:hAnsi="Palatino Linotype" w:cs="Times New Roman"/>
                <w:sz w:val="20"/>
                <w:szCs w:val="20"/>
              </w:rPr>
            </w:pPr>
            <w:r w:rsidRPr="00C21643">
              <w:rPr>
                <w:rFonts w:ascii="Palatino Linotype" w:hAnsi="Palatino Linotype" w:cs="Times New Roman"/>
                <w:sz w:val="20"/>
                <w:szCs w:val="20"/>
              </w:rPr>
              <w:t>Mức 1</w:t>
            </w:r>
          </w:p>
          <w:p w14:paraId="5B1910E1" w14:textId="77777777" w:rsidR="00C21643" w:rsidRPr="00C21643" w:rsidRDefault="00C21643" w:rsidP="00C21643">
            <w:pPr>
              <w:spacing w:line="276" w:lineRule="auto"/>
              <w:jc w:val="center"/>
              <w:rPr>
                <w:rFonts w:ascii="Palatino Linotype" w:hAnsi="Palatino Linotype" w:cs="Times New Roman"/>
                <w:sz w:val="20"/>
                <w:szCs w:val="20"/>
              </w:rPr>
            </w:pPr>
            <w:r w:rsidRPr="00C21643">
              <w:rPr>
                <w:rFonts w:ascii="Palatino Linotype" w:hAnsi="Palatino Linotype" w:cs="Times New Roman"/>
                <w:sz w:val="20"/>
                <w:szCs w:val="20"/>
              </w:rPr>
              <w:t>( Sơ khởi)</w:t>
            </w:r>
          </w:p>
        </w:tc>
      </w:tr>
      <w:tr w:rsidR="00C21643" w:rsidRPr="00C21643" w14:paraId="39CF3541" w14:textId="77777777" w:rsidTr="00C21643">
        <w:tc>
          <w:tcPr>
            <w:tcW w:w="983" w:type="pct"/>
          </w:tcPr>
          <w:p w14:paraId="5E2AC441"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A. Xác định mục đích ĐGQT</w:t>
            </w:r>
          </w:p>
        </w:tc>
        <w:tc>
          <w:tcPr>
            <w:tcW w:w="1422" w:type="pct"/>
          </w:tcPr>
          <w:p w14:paraId="29B7C7B5"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A1.3</w:t>
            </w:r>
            <w:r w:rsidRPr="00C21643">
              <w:rPr>
                <w:rFonts w:ascii="Palatino Linotype" w:hAnsi="Palatino Linotype" w:cs="Times New Roman"/>
                <w:sz w:val="20"/>
                <w:szCs w:val="20"/>
              </w:rPr>
              <w:t xml:space="preserve"> Xác định được đối tượng ĐG, đối tượng sử dụng kết quả ĐG và thông tin cần thu thập </w:t>
            </w:r>
            <w:r w:rsidRPr="00C21643">
              <w:rPr>
                <w:rFonts w:ascii="Palatino Linotype" w:hAnsi="Palatino Linotype" w:cs="Times New Roman"/>
                <w:sz w:val="20"/>
                <w:szCs w:val="20"/>
              </w:rPr>
              <w:lastRenderedPageBreak/>
              <w:t>một cách chính xác, phù hợp với ngữ cảnh ĐG.</w:t>
            </w:r>
          </w:p>
          <w:p w14:paraId="0A753948" w14:textId="77777777" w:rsidR="00C21643" w:rsidRPr="00C21643" w:rsidRDefault="00C21643" w:rsidP="00C21643">
            <w:pPr>
              <w:spacing w:line="276" w:lineRule="auto"/>
              <w:jc w:val="both"/>
              <w:rPr>
                <w:rFonts w:ascii="Palatino Linotype" w:hAnsi="Palatino Linotype" w:cs="Times New Roman"/>
                <w:sz w:val="20"/>
                <w:szCs w:val="20"/>
              </w:rPr>
            </w:pPr>
          </w:p>
          <w:p w14:paraId="4E23406B" w14:textId="77777777" w:rsidR="00C21643" w:rsidRPr="00C21643" w:rsidRDefault="00C21643" w:rsidP="00C21643">
            <w:pPr>
              <w:spacing w:line="276" w:lineRule="auto"/>
              <w:jc w:val="both"/>
              <w:rPr>
                <w:rFonts w:ascii="Palatino Linotype" w:hAnsi="Palatino Linotype" w:cs="Times New Roman"/>
                <w:sz w:val="20"/>
                <w:szCs w:val="20"/>
              </w:rPr>
            </w:pPr>
          </w:p>
          <w:p w14:paraId="396B2ABA" w14:textId="77777777" w:rsidR="00C21643" w:rsidRPr="00C21643" w:rsidRDefault="00C21643" w:rsidP="00C21643">
            <w:pPr>
              <w:spacing w:line="276" w:lineRule="auto"/>
              <w:jc w:val="both"/>
              <w:rPr>
                <w:rFonts w:ascii="Palatino Linotype" w:hAnsi="Palatino Linotype" w:cs="Times New Roman"/>
                <w:sz w:val="20"/>
                <w:szCs w:val="20"/>
              </w:rPr>
            </w:pPr>
          </w:p>
          <w:p w14:paraId="5F5303F3"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A2.3</w:t>
            </w:r>
            <w:r w:rsidRPr="00C21643">
              <w:rPr>
                <w:rFonts w:ascii="Palatino Linotype" w:hAnsi="Palatino Linotype" w:cs="Times New Roman"/>
                <w:sz w:val="20"/>
                <w:szCs w:val="20"/>
              </w:rPr>
              <w:t xml:space="preserve"> Mục đích ĐG thể hiện tính cải thiện một cách toàn diện.</w:t>
            </w:r>
          </w:p>
        </w:tc>
        <w:tc>
          <w:tcPr>
            <w:tcW w:w="1296" w:type="pct"/>
          </w:tcPr>
          <w:p w14:paraId="0ECB6E14"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lastRenderedPageBreak/>
              <w:t>A1.2</w:t>
            </w:r>
            <w:r w:rsidRPr="00C21643">
              <w:rPr>
                <w:rFonts w:ascii="Palatino Linotype" w:hAnsi="Palatino Linotype" w:cs="Times New Roman"/>
                <w:sz w:val="20"/>
                <w:szCs w:val="20"/>
              </w:rPr>
              <w:t xml:space="preserve"> Xác định được đối tượng ĐG, đối tượng sử dụng kết quả ĐG và thông tin </w:t>
            </w:r>
            <w:r w:rsidRPr="00C21643">
              <w:rPr>
                <w:rFonts w:ascii="Palatino Linotype" w:hAnsi="Palatino Linotype" w:cs="Times New Roman"/>
                <w:sz w:val="20"/>
                <w:szCs w:val="20"/>
              </w:rPr>
              <w:lastRenderedPageBreak/>
              <w:t>cần thu thập. Tuy nhiên, vẫn tồn tại 1 số lỗi về sự phù hợp giữa các nội dung này.</w:t>
            </w:r>
          </w:p>
          <w:p w14:paraId="2D4A9EDA"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A2.2</w:t>
            </w:r>
            <w:r w:rsidRPr="00C21643">
              <w:rPr>
                <w:rFonts w:ascii="Palatino Linotype" w:hAnsi="Palatino Linotype" w:cs="Times New Roman"/>
                <w:sz w:val="20"/>
                <w:szCs w:val="20"/>
              </w:rPr>
              <w:t xml:space="preserve"> Mục đích ĐG thể hiện tính cải thiện một cách toàn diện.</w:t>
            </w:r>
          </w:p>
        </w:tc>
        <w:tc>
          <w:tcPr>
            <w:tcW w:w="1299" w:type="pct"/>
          </w:tcPr>
          <w:p w14:paraId="22BCE3C5"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lastRenderedPageBreak/>
              <w:t>A1.1</w:t>
            </w:r>
            <w:r w:rsidRPr="00C21643">
              <w:rPr>
                <w:rFonts w:ascii="Palatino Linotype" w:hAnsi="Palatino Linotype" w:cs="Times New Roman"/>
                <w:sz w:val="20"/>
                <w:szCs w:val="20"/>
              </w:rPr>
              <w:t xml:space="preserve"> Xác định được đối tượng ĐG, đối tượng sử dụng ĐG và thông tin ĐG. Tuy </w:t>
            </w:r>
            <w:r w:rsidRPr="00C21643">
              <w:rPr>
                <w:rFonts w:ascii="Palatino Linotype" w:hAnsi="Palatino Linotype" w:cs="Times New Roman"/>
                <w:sz w:val="20"/>
                <w:szCs w:val="20"/>
              </w:rPr>
              <w:lastRenderedPageBreak/>
              <w:t>nhiên, mối tương quan giữa các nội dung này là chưa phù hợp.</w:t>
            </w:r>
          </w:p>
          <w:p w14:paraId="437AB67C" w14:textId="77777777" w:rsidR="00C21643" w:rsidRPr="00C21643" w:rsidRDefault="00C21643" w:rsidP="00C21643">
            <w:pPr>
              <w:spacing w:line="276" w:lineRule="auto"/>
              <w:jc w:val="both"/>
              <w:rPr>
                <w:rFonts w:ascii="Palatino Linotype" w:hAnsi="Palatino Linotype" w:cs="Times New Roman"/>
                <w:b/>
                <w:sz w:val="20"/>
                <w:szCs w:val="20"/>
              </w:rPr>
            </w:pPr>
          </w:p>
          <w:p w14:paraId="55B79C8B" w14:textId="77777777" w:rsidR="00C21643" w:rsidRPr="00C21643" w:rsidRDefault="00C21643" w:rsidP="00C21643">
            <w:pPr>
              <w:spacing w:line="276" w:lineRule="auto"/>
              <w:jc w:val="both"/>
              <w:rPr>
                <w:rFonts w:ascii="Palatino Linotype" w:hAnsi="Palatino Linotype" w:cs="Times New Roman"/>
                <w:b/>
                <w:sz w:val="20"/>
                <w:szCs w:val="20"/>
              </w:rPr>
            </w:pPr>
          </w:p>
          <w:p w14:paraId="7FFD771B"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A2.1</w:t>
            </w:r>
            <w:r w:rsidRPr="00C21643">
              <w:rPr>
                <w:rFonts w:ascii="Palatino Linotype" w:hAnsi="Palatino Linotype" w:cs="Times New Roman"/>
                <w:sz w:val="20"/>
                <w:szCs w:val="20"/>
              </w:rPr>
              <w:t xml:space="preserve"> Mục đích ĐG thể hiện tính cải thiện nhưng chưa toàn diện.</w:t>
            </w:r>
          </w:p>
        </w:tc>
      </w:tr>
      <w:tr w:rsidR="00C21643" w:rsidRPr="00C21643" w14:paraId="3E7229F3" w14:textId="77777777" w:rsidTr="00C21643">
        <w:tc>
          <w:tcPr>
            <w:tcW w:w="983" w:type="pct"/>
          </w:tcPr>
          <w:p w14:paraId="5D3ACE8F"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lastRenderedPageBreak/>
              <w:t>B. Xác định mục tiêu ĐGQT</w:t>
            </w:r>
          </w:p>
        </w:tc>
        <w:tc>
          <w:tcPr>
            <w:tcW w:w="1422" w:type="pct"/>
          </w:tcPr>
          <w:p w14:paraId="34133CE2"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B1.3</w:t>
            </w:r>
            <w:r w:rsidRPr="00C21643">
              <w:rPr>
                <w:rFonts w:ascii="Palatino Linotype" w:hAnsi="Palatino Linotype" w:cs="Times New Roman"/>
                <w:sz w:val="20"/>
                <w:szCs w:val="20"/>
              </w:rPr>
              <w:t xml:space="preserve"> Xác định được mục tiêu học tập ĐG một cách nhanh chóng, chính xác và phù hợp với mục đích ĐG.</w:t>
            </w:r>
          </w:p>
          <w:p w14:paraId="61138A62" w14:textId="77777777" w:rsidR="00C21643" w:rsidRPr="00C21643" w:rsidRDefault="00C21643" w:rsidP="00C21643">
            <w:pPr>
              <w:spacing w:line="276" w:lineRule="auto"/>
              <w:jc w:val="both"/>
              <w:rPr>
                <w:rFonts w:ascii="Palatino Linotype" w:hAnsi="Palatino Linotype" w:cs="Times New Roman"/>
                <w:sz w:val="20"/>
                <w:szCs w:val="20"/>
              </w:rPr>
            </w:pPr>
          </w:p>
          <w:p w14:paraId="45B0BB1A"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 xml:space="preserve"> </w:t>
            </w:r>
          </w:p>
          <w:p w14:paraId="2806A4B2"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B2.3</w:t>
            </w:r>
            <w:r w:rsidRPr="00C21643">
              <w:rPr>
                <w:rFonts w:ascii="Palatino Linotype" w:hAnsi="Palatino Linotype" w:cs="Times New Roman"/>
                <w:sz w:val="20"/>
                <w:szCs w:val="20"/>
              </w:rPr>
              <w:t xml:space="preserve"> Mục tiêu ĐG rõ ràng và đo lường được</w:t>
            </w:r>
          </w:p>
          <w:p w14:paraId="21E908BF" w14:textId="77777777" w:rsidR="00C21643" w:rsidRPr="00C21643" w:rsidRDefault="00C21643" w:rsidP="00C21643">
            <w:pPr>
              <w:spacing w:line="276" w:lineRule="auto"/>
              <w:jc w:val="both"/>
              <w:rPr>
                <w:rFonts w:ascii="Palatino Linotype" w:hAnsi="Palatino Linotype" w:cs="Times New Roman"/>
                <w:sz w:val="20"/>
                <w:szCs w:val="20"/>
              </w:rPr>
            </w:pPr>
          </w:p>
        </w:tc>
        <w:tc>
          <w:tcPr>
            <w:tcW w:w="1296" w:type="pct"/>
          </w:tcPr>
          <w:p w14:paraId="04015730"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B1.2</w:t>
            </w:r>
            <w:r w:rsidRPr="00C21643">
              <w:rPr>
                <w:rFonts w:ascii="Palatino Linotype" w:hAnsi="Palatino Linotype" w:cs="Times New Roman"/>
                <w:sz w:val="20"/>
                <w:szCs w:val="20"/>
              </w:rPr>
              <w:t xml:space="preserve"> Xác định được mục tiêu học tập được ĐG. Tuy nhiên còn một vài lỗi nhỏ cần khắc phục về tính phù hợp với mục đích ĐG.</w:t>
            </w:r>
          </w:p>
          <w:p w14:paraId="427A9112"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B2.2</w:t>
            </w:r>
            <w:r w:rsidRPr="00C21643">
              <w:rPr>
                <w:rFonts w:ascii="Palatino Linotype" w:hAnsi="Palatino Linotype" w:cs="Times New Roman"/>
                <w:sz w:val="20"/>
                <w:szCs w:val="20"/>
              </w:rPr>
              <w:t xml:space="preserve"> Phần lớn mục tiêu ĐG rõ ràng và đo lường được.</w:t>
            </w:r>
          </w:p>
        </w:tc>
        <w:tc>
          <w:tcPr>
            <w:tcW w:w="1299" w:type="pct"/>
          </w:tcPr>
          <w:p w14:paraId="731C4810"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B1.1</w:t>
            </w:r>
            <w:r w:rsidRPr="00C21643">
              <w:rPr>
                <w:rFonts w:ascii="Palatino Linotype" w:hAnsi="Palatino Linotype" w:cs="Times New Roman"/>
                <w:sz w:val="20"/>
                <w:szCs w:val="20"/>
              </w:rPr>
              <w:t xml:space="preserve"> Xác định được mục tiêu học tập được ĐG nhưng chưa phù hợp với mục đích.</w:t>
            </w:r>
          </w:p>
          <w:p w14:paraId="1F057691"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 xml:space="preserve"> </w:t>
            </w:r>
          </w:p>
          <w:p w14:paraId="2FA249C1" w14:textId="77777777" w:rsidR="00C21643" w:rsidRPr="00C21643" w:rsidRDefault="00C21643" w:rsidP="00C21643">
            <w:pPr>
              <w:spacing w:line="276" w:lineRule="auto"/>
              <w:jc w:val="both"/>
              <w:rPr>
                <w:rFonts w:ascii="Palatino Linotype" w:hAnsi="Palatino Linotype" w:cs="Times New Roman"/>
                <w:sz w:val="20"/>
                <w:szCs w:val="20"/>
              </w:rPr>
            </w:pPr>
          </w:p>
          <w:p w14:paraId="7FF449FA" w14:textId="77777777" w:rsidR="00C21643" w:rsidRPr="00C21643" w:rsidRDefault="00C21643" w:rsidP="00C21643">
            <w:pPr>
              <w:spacing w:line="276" w:lineRule="auto"/>
              <w:jc w:val="both"/>
              <w:rPr>
                <w:rFonts w:ascii="Palatino Linotype" w:hAnsi="Palatino Linotype" w:cs="Times New Roman"/>
                <w:sz w:val="20"/>
                <w:szCs w:val="20"/>
              </w:rPr>
            </w:pPr>
          </w:p>
          <w:p w14:paraId="59C6E5FE"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B2.1</w:t>
            </w:r>
            <w:r w:rsidRPr="00C21643">
              <w:rPr>
                <w:rFonts w:ascii="Palatino Linotype" w:hAnsi="Palatino Linotype" w:cs="Times New Roman"/>
                <w:sz w:val="20"/>
                <w:szCs w:val="20"/>
              </w:rPr>
              <w:t xml:space="preserve"> Phần lớn mục tiêu ĐG chưa rõ ràng, khó đo lường.</w:t>
            </w:r>
          </w:p>
        </w:tc>
      </w:tr>
      <w:tr w:rsidR="00C21643" w:rsidRPr="00C21643" w14:paraId="41D72C64" w14:textId="77777777" w:rsidTr="00C21643">
        <w:tc>
          <w:tcPr>
            <w:tcW w:w="983" w:type="pct"/>
          </w:tcPr>
          <w:p w14:paraId="3CC01F9A"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C. Xác định  phương pháp ĐG và thiết kế công cụ ĐG</w:t>
            </w:r>
          </w:p>
        </w:tc>
        <w:tc>
          <w:tcPr>
            <w:tcW w:w="1422" w:type="pct"/>
          </w:tcPr>
          <w:p w14:paraId="318925FF"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C1.3</w:t>
            </w:r>
            <w:r w:rsidRPr="00C21643">
              <w:rPr>
                <w:rFonts w:ascii="Palatino Linotype" w:hAnsi="Palatino Linotype" w:cs="Times New Roman"/>
                <w:sz w:val="20"/>
                <w:szCs w:val="20"/>
              </w:rPr>
              <w:t xml:space="preserve"> Xác định được phương pháp phù hợp với mục đích ĐG, bối cảnh ĐG.</w:t>
            </w:r>
          </w:p>
          <w:p w14:paraId="75837350" w14:textId="77777777" w:rsidR="00C21643" w:rsidRPr="00C21643" w:rsidRDefault="00C21643" w:rsidP="00C21643">
            <w:pPr>
              <w:spacing w:line="276" w:lineRule="auto"/>
              <w:jc w:val="both"/>
              <w:rPr>
                <w:rFonts w:ascii="Palatino Linotype" w:hAnsi="Palatino Linotype" w:cs="Times New Roman"/>
                <w:sz w:val="20"/>
                <w:szCs w:val="20"/>
              </w:rPr>
            </w:pPr>
          </w:p>
          <w:p w14:paraId="4EEBAF6F" w14:textId="77777777" w:rsidR="00C21643" w:rsidRPr="00C21643" w:rsidRDefault="00C21643" w:rsidP="00C21643">
            <w:pPr>
              <w:spacing w:line="276" w:lineRule="auto"/>
              <w:jc w:val="both"/>
              <w:rPr>
                <w:rFonts w:ascii="Palatino Linotype" w:hAnsi="Palatino Linotype" w:cs="Times New Roman"/>
                <w:sz w:val="20"/>
                <w:szCs w:val="20"/>
              </w:rPr>
            </w:pPr>
          </w:p>
          <w:p w14:paraId="42B61A67" w14:textId="77777777" w:rsidR="00C21643" w:rsidRPr="00C21643" w:rsidRDefault="00C21643" w:rsidP="00C21643">
            <w:pPr>
              <w:spacing w:line="276" w:lineRule="auto"/>
              <w:jc w:val="both"/>
              <w:rPr>
                <w:rFonts w:ascii="Palatino Linotype" w:hAnsi="Palatino Linotype" w:cs="Times New Roman"/>
                <w:sz w:val="20"/>
                <w:szCs w:val="20"/>
              </w:rPr>
            </w:pPr>
          </w:p>
          <w:p w14:paraId="5F1FBC87" w14:textId="77777777" w:rsidR="00C21643" w:rsidRPr="00C21643" w:rsidRDefault="00C21643" w:rsidP="00C21643">
            <w:pPr>
              <w:spacing w:line="276" w:lineRule="auto"/>
              <w:jc w:val="both"/>
              <w:rPr>
                <w:rFonts w:ascii="Palatino Linotype" w:hAnsi="Palatino Linotype" w:cs="Times New Roman"/>
                <w:sz w:val="20"/>
                <w:szCs w:val="20"/>
              </w:rPr>
            </w:pPr>
          </w:p>
          <w:p w14:paraId="5F908273"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C2.3</w:t>
            </w:r>
            <w:r w:rsidRPr="00C21643">
              <w:rPr>
                <w:rFonts w:ascii="Palatino Linotype" w:hAnsi="Palatino Linotype" w:cs="Times New Roman"/>
                <w:sz w:val="20"/>
                <w:szCs w:val="20"/>
              </w:rPr>
              <w:t xml:space="preserve"> Thiết kế được công cụ ĐG phù hợp, sáng tạo có thể thu thập được toàn bộ thông tin cần thiết</w:t>
            </w:r>
          </w:p>
          <w:p w14:paraId="45E955D6"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C3.3</w:t>
            </w:r>
            <w:r w:rsidRPr="00C21643">
              <w:rPr>
                <w:rFonts w:ascii="Palatino Linotype" w:hAnsi="Palatino Linotype" w:cs="Times New Roman"/>
                <w:sz w:val="20"/>
                <w:szCs w:val="20"/>
              </w:rPr>
              <w:t xml:space="preserve"> Xây dựng hệ thống tiêu chí ĐG đầy đủ, toàn diện, trình bày dưới dạng phiếu phù hợp.</w:t>
            </w:r>
          </w:p>
        </w:tc>
        <w:tc>
          <w:tcPr>
            <w:tcW w:w="1296" w:type="pct"/>
          </w:tcPr>
          <w:p w14:paraId="238EC757"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C1.2</w:t>
            </w:r>
            <w:r w:rsidRPr="00C21643">
              <w:rPr>
                <w:rFonts w:ascii="Palatino Linotype" w:hAnsi="Palatino Linotype" w:cs="Times New Roman"/>
                <w:sz w:val="20"/>
                <w:szCs w:val="20"/>
              </w:rPr>
              <w:t xml:space="preserve"> Xác định được phương pháp ĐG để thu thập thông tin cần thiết, tuy nhiên phương pháp lựa chọn có thể chưa phù hợp với bối cảnh thực hiện ĐG.</w:t>
            </w:r>
          </w:p>
          <w:p w14:paraId="37820ADB"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C2.2</w:t>
            </w:r>
            <w:r w:rsidRPr="00C21643">
              <w:rPr>
                <w:rFonts w:ascii="Palatino Linotype" w:hAnsi="Palatino Linotype" w:cs="Times New Roman"/>
                <w:sz w:val="20"/>
                <w:szCs w:val="20"/>
              </w:rPr>
              <w:t xml:space="preserve"> Thiết kế được công cụ ĐG để thu thập thông tin cần thiết nhưng chưa toàn diện</w:t>
            </w:r>
          </w:p>
          <w:p w14:paraId="12E73A85"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C3.2</w:t>
            </w:r>
            <w:r w:rsidRPr="00C21643">
              <w:rPr>
                <w:rFonts w:ascii="Palatino Linotype" w:hAnsi="Palatino Linotype" w:cs="Times New Roman"/>
                <w:sz w:val="20"/>
                <w:szCs w:val="20"/>
              </w:rPr>
              <w:t xml:space="preserve"> Xây dựng được hệ thống tiêu chí ĐG nhưng còn sai sót, chưa toàn diện.  </w:t>
            </w:r>
          </w:p>
        </w:tc>
        <w:tc>
          <w:tcPr>
            <w:tcW w:w="1299" w:type="pct"/>
          </w:tcPr>
          <w:p w14:paraId="4BBCB451"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C1.1</w:t>
            </w:r>
            <w:r w:rsidRPr="00C21643">
              <w:rPr>
                <w:rFonts w:ascii="Palatino Linotype" w:hAnsi="Palatino Linotype" w:cs="Times New Roman"/>
                <w:sz w:val="20"/>
                <w:szCs w:val="20"/>
              </w:rPr>
              <w:t xml:space="preserve"> Xác định được phương pháp ĐG nhưng chưa phù hợp với mục đích ĐG.</w:t>
            </w:r>
          </w:p>
          <w:p w14:paraId="215E6384" w14:textId="77777777" w:rsidR="00C21643" w:rsidRPr="00C21643" w:rsidRDefault="00C21643" w:rsidP="00C21643">
            <w:pPr>
              <w:spacing w:line="276" w:lineRule="auto"/>
              <w:jc w:val="both"/>
              <w:rPr>
                <w:rFonts w:ascii="Palatino Linotype" w:hAnsi="Palatino Linotype" w:cs="Times New Roman"/>
                <w:sz w:val="20"/>
                <w:szCs w:val="20"/>
              </w:rPr>
            </w:pPr>
          </w:p>
          <w:p w14:paraId="3D1C7B7F" w14:textId="77777777" w:rsidR="00C21643" w:rsidRPr="00C21643" w:rsidRDefault="00C21643" w:rsidP="00C21643">
            <w:pPr>
              <w:spacing w:line="276" w:lineRule="auto"/>
              <w:jc w:val="both"/>
              <w:rPr>
                <w:rFonts w:ascii="Palatino Linotype" w:hAnsi="Palatino Linotype" w:cs="Times New Roman"/>
                <w:sz w:val="20"/>
                <w:szCs w:val="20"/>
              </w:rPr>
            </w:pPr>
          </w:p>
          <w:p w14:paraId="08BA87FD" w14:textId="77777777" w:rsidR="00C21643" w:rsidRPr="00C21643" w:rsidRDefault="00C21643" w:rsidP="00C21643">
            <w:pPr>
              <w:spacing w:line="276" w:lineRule="auto"/>
              <w:jc w:val="both"/>
              <w:rPr>
                <w:rFonts w:ascii="Palatino Linotype" w:hAnsi="Palatino Linotype" w:cs="Times New Roman"/>
                <w:sz w:val="20"/>
                <w:szCs w:val="20"/>
              </w:rPr>
            </w:pPr>
          </w:p>
          <w:p w14:paraId="76FFA802" w14:textId="77777777" w:rsidR="00C21643" w:rsidRPr="00C21643" w:rsidRDefault="00C21643" w:rsidP="00C21643">
            <w:pPr>
              <w:spacing w:line="276" w:lineRule="auto"/>
              <w:jc w:val="both"/>
              <w:rPr>
                <w:rFonts w:ascii="Palatino Linotype" w:hAnsi="Palatino Linotype" w:cs="Times New Roman"/>
                <w:sz w:val="20"/>
                <w:szCs w:val="20"/>
              </w:rPr>
            </w:pPr>
          </w:p>
          <w:p w14:paraId="48DD5048"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C2.1</w:t>
            </w:r>
            <w:r w:rsidRPr="00C21643">
              <w:rPr>
                <w:rFonts w:ascii="Palatino Linotype" w:hAnsi="Palatino Linotype" w:cs="Times New Roman"/>
                <w:sz w:val="20"/>
                <w:szCs w:val="20"/>
              </w:rPr>
              <w:t xml:space="preserve"> Thiết kế được công cụ ĐG tuy nhiên công cụ vẫn chưa thu thập được tất cả thông tin cần thiết.</w:t>
            </w:r>
          </w:p>
          <w:p w14:paraId="6D5DC839"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C3.1</w:t>
            </w:r>
            <w:r w:rsidRPr="00C21643">
              <w:rPr>
                <w:rFonts w:ascii="Palatino Linotype" w:hAnsi="Palatino Linotype" w:cs="Times New Roman"/>
                <w:sz w:val="20"/>
                <w:szCs w:val="20"/>
              </w:rPr>
              <w:t xml:space="preserve"> Xây dựng được hệ thông tiêu chí ĐG nhưng còn nhiều sai sót, chưa biết cách trình bày dưới dạng </w:t>
            </w:r>
            <w:r w:rsidRPr="00C21643">
              <w:rPr>
                <w:rFonts w:ascii="Palatino Linotype" w:hAnsi="Palatino Linotype" w:cs="Times New Roman"/>
                <w:sz w:val="20"/>
                <w:szCs w:val="20"/>
              </w:rPr>
              <w:lastRenderedPageBreak/>
              <w:t>phiếu ĐG.</w:t>
            </w:r>
          </w:p>
        </w:tc>
      </w:tr>
      <w:tr w:rsidR="00C21643" w:rsidRPr="00C21643" w14:paraId="7A4A1737" w14:textId="77777777" w:rsidTr="00C21643">
        <w:tc>
          <w:tcPr>
            <w:tcW w:w="983" w:type="pct"/>
          </w:tcPr>
          <w:p w14:paraId="76CED191"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lastRenderedPageBreak/>
              <w:t>D. Thu nhận và xử lý thông tin phản hồi</w:t>
            </w:r>
          </w:p>
        </w:tc>
        <w:tc>
          <w:tcPr>
            <w:tcW w:w="1422" w:type="pct"/>
          </w:tcPr>
          <w:p w14:paraId="774A8E53"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D1.3</w:t>
            </w:r>
            <w:r w:rsidRPr="00C21643">
              <w:rPr>
                <w:rFonts w:ascii="Palatino Linotype" w:hAnsi="Palatino Linotype" w:cs="Times New Roman"/>
                <w:sz w:val="20"/>
                <w:szCs w:val="20"/>
              </w:rPr>
              <w:t xml:space="preserve"> Ghi chép và tóm tắt thông tin ĐG đầy đủ, rõ ràng.</w:t>
            </w:r>
          </w:p>
          <w:p w14:paraId="024300AA" w14:textId="77777777" w:rsidR="00C21643" w:rsidRPr="00C21643" w:rsidRDefault="00C21643" w:rsidP="00C21643">
            <w:pPr>
              <w:spacing w:line="276" w:lineRule="auto"/>
              <w:jc w:val="both"/>
              <w:rPr>
                <w:rFonts w:ascii="Palatino Linotype" w:hAnsi="Palatino Linotype" w:cs="Times New Roman"/>
                <w:sz w:val="20"/>
                <w:szCs w:val="20"/>
              </w:rPr>
            </w:pPr>
          </w:p>
          <w:p w14:paraId="5F7D2CA2"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D2.3</w:t>
            </w:r>
            <w:r w:rsidRPr="00C21643">
              <w:rPr>
                <w:rFonts w:ascii="Palatino Linotype" w:hAnsi="Palatino Linotype" w:cs="Times New Roman"/>
                <w:sz w:val="20"/>
                <w:szCs w:val="20"/>
              </w:rPr>
              <w:t xml:space="preserve">   Phân loại và diễn giải được ý nghĩa của thông tin ĐG phù hợp với mục đích, bối cảnh ĐG</w:t>
            </w:r>
          </w:p>
          <w:p w14:paraId="60262981" w14:textId="77777777" w:rsidR="00C21643" w:rsidRPr="00C21643" w:rsidRDefault="00C21643" w:rsidP="00C21643">
            <w:pPr>
              <w:spacing w:line="276" w:lineRule="auto"/>
              <w:jc w:val="both"/>
              <w:rPr>
                <w:rFonts w:ascii="Palatino Linotype" w:hAnsi="Palatino Linotype" w:cs="Times New Roman"/>
                <w:sz w:val="20"/>
                <w:szCs w:val="20"/>
              </w:rPr>
            </w:pPr>
          </w:p>
          <w:p w14:paraId="331324DD" w14:textId="77777777" w:rsidR="00C21643" w:rsidRPr="00C21643" w:rsidRDefault="00C21643" w:rsidP="00C21643">
            <w:pPr>
              <w:spacing w:line="276" w:lineRule="auto"/>
              <w:jc w:val="both"/>
              <w:rPr>
                <w:rFonts w:ascii="Palatino Linotype" w:hAnsi="Palatino Linotype" w:cs="Times New Roman"/>
                <w:sz w:val="20"/>
                <w:szCs w:val="20"/>
              </w:rPr>
            </w:pPr>
          </w:p>
          <w:p w14:paraId="0079F473"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D3.3</w:t>
            </w:r>
            <w:r w:rsidRPr="00C21643">
              <w:rPr>
                <w:rFonts w:ascii="Palatino Linotype" w:hAnsi="Palatino Linotype" w:cs="Times New Roman"/>
                <w:sz w:val="20"/>
                <w:szCs w:val="20"/>
              </w:rPr>
              <w:t xml:space="preserve">    Xác định được hình thức trao đổi kết quả ĐG đến đối tượng sử dụng thông tin phù hợp và hiệu quả</w:t>
            </w:r>
          </w:p>
          <w:p w14:paraId="61A3A229" w14:textId="77777777" w:rsidR="00C21643" w:rsidRPr="00C21643" w:rsidRDefault="00C21643" w:rsidP="00C21643">
            <w:pPr>
              <w:spacing w:line="276" w:lineRule="auto"/>
              <w:jc w:val="both"/>
              <w:rPr>
                <w:rFonts w:ascii="Palatino Linotype" w:hAnsi="Palatino Linotype" w:cs="Times New Roman"/>
                <w:sz w:val="20"/>
                <w:szCs w:val="20"/>
              </w:rPr>
            </w:pPr>
          </w:p>
          <w:p w14:paraId="5D90FC8D"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D4.3</w:t>
            </w:r>
            <w:r w:rsidRPr="00C21643">
              <w:rPr>
                <w:rFonts w:ascii="Palatino Linotype" w:hAnsi="Palatino Linotype" w:cs="Times New Roman"/>
                <w:sz w:val="20"/>
                <w:szCs w:val="20"/>
              </w:rPr>
              <w:t xml:space="preserve">     Trao đổi kết quả ĐG đến đối tượng có hiệu quả (đối tượng hiểu thông tin và xác định được chiến lược điều chỉnh bản thân) </w:t>
            </w:r>
          </w:p>
        </w:tc>
        <w:tc>
          <w:tcPr>
            <w:tcW w:w="1296" w:type="pct"/>
          </w:tcPr>
          <w:p w14:paraId="1E35839E"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D1.2</w:t>
            </w:r>
            <w:r w:rsidRPr="00C21643">
              <w:rPr>
                <w:rFonts w:ascii="Palatino Linotype" w:hAnsi="Palatino Linotype" w:cs="Times New Roman"/>
                <w:sz w:val="20"/>
                <w:szCs w:val="20"/>
              </w:rPr>
              <w:t xml:space="preserve"> Ghi chép và tóm tắt thông tin ĐG đầy đủ.</w:t>
            </w:r>
          </w:p>
          <w:p w14:paraId="06070870" w14:textId="77777777" w:rsidR="00C21643" w:rsidRPr="00C21643" w:rsidRDefault="00C21643" w:rsidP="00C21643">
            <w:pPr>
              <w:spacing w:line="276" w:lineRule="auto"/>
              <w:jc w:val="both"/>
              <w:rPr>
                <w:rFonts w:ascii="Palatino Linotype" w:hAnsi="Palatino Linotype" w:cs="Times New Roman"/>
                <w:sz w:val="20"/>
                <w:szCs w:val="20"/>
              </w:rPr>
            </w:pPr>
          </w:p>
          <w:p w14:paraId="56DB6177"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D2.2</w:t>
            </w:r>
            <w:r w:rsidRPr="00C21643">
              <w:rPr>
                <w:rFonts w:ascii="Palatino Linotype" w:hAnsi="Palatino Linotype" w:cs="Times New Roman"/>
                <w:sz w:val="20"/>
                <w:szCs w:val="20"/>
              </w:rPr>
              <w:t xml:space="preserve">   Phân loại và diễn giải được ý nghĩa của thông tin ĐG phù hợp với mục đích ĐG, tuy nhiên thiếu liên hệ đến bối cảnh ĐG.</w:t>
            </w:r>
          </w:p>
          <w:p w14:paraId="3936F596"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D3.2</w:t>
            </w:r>
            <w:r w:rsidRPr="00C21643">
              <w:rPr>
                <w:rFonts w:ascii="Palatino Linotype" w:hAnsi="Palatino Linotype" w:cs="Times New Roman"/>
                <w:sz w:val="20"/>
                <w:szCs w:val="20"/>
              </w:rPr>
              <w:t xml:space="preserve">    Xác định được hình thức trao đổi kết quả phù hợp với mục đích nhưng có thể chưa phù hợp với bối cảnh ĐG.</w:t>
            </w:r>
          </w:p>
          <w:p w14:paraId="0C784FCA"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D4.2</w:t>
            </w:r>
            <w:r w:rsidRPr="00C21643">
              <w:rPr>
                <w:rFonts w:ascii="Palatino Linotype" w:hAnsi="Palatino Linotype" w:cs="Times New Roman"/>
                <w:sz w:val="20"/>
                <w:szCs w:val="20"/>
              </w:rPr>
              <w:t xml:space="preserve">     Trao đổi kết quả ĐG đến đối tượng đạt yêu cầu (đối tượng hiểu đa số thông tin và xác định được chiến lược điều chỉnh bản thân nhưng chưa toàn diện) </w:t>
            </w:r>
          </w:p>
        </w:tc>
        <w:tc>
          <w:tcPr>
            <w:tcW w:w="1299" w:type="pct"/>
          </w:tcPr>
          <w:p w14:paraId="7E99B91E"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D1.1</w:t>
            </w:r>
            <w:r w:rsidRPr="00C21643">
              <w:rPr>
                <w:rFonts w:ascii="Palatino Linotype" w:hAnsi="Palatino Linotype" w:cs="Times New Roman"/>
                <w:sz w:val="20"/>
                <w:szCs w:val="20"/>
              </w:rPr>
              <w:t xml:space="preserve"> Ghi chép và tóm tắt thông tin ĐG chưa đầy đủ so với mục đích ĐG đã xác định.</w:t>
            </w:r>
          </w:p>
          <w:p w14:paraId="6A5FB1B3"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D2.1</w:t>
            </w:r>
            <w:r w:rsidRPr="00C21643">
              <w:rPr>
                <w:rFonts w:ascii="Palatino Linotype" w:hAnsi="Palatino Linotype" w:cs="Times New Roman"/>
                <w:sz w:val="20"/>
                <w:szCs w:val="20"/>
              </w:rPr>
              <w:t xml:space="preserve">   Phân loại được thông tin ĐG tuy nhiên diễn giải ý nghĩa của thông tin thu được chưa rõ ràng.</w:t>
            </w:r>
          </w:p>
          <w:p w14:paraId="74311F54" w14:textId="77777777" w:rsidR="00C21643" w:rsidRPr="00C21643" w:rsidRDefault="00C21643" w:rsidP="00C21643">
            <w:pPr>
              <w:spacing w:line="276" w:lineRule="auto"/>
              <w:jc w:val="both"/>
              <w:rPr>
                <w:rFonts w:ascii="Palatino Linotype" w:hAnsi="Palatino Linotype" w:cs="Times New Roman"/>
                <w:sz w:val="20"/>
                <w:szCs w:val="20"/>
              </w:rPr>
            </w:pPr>
          </w:p>
          <w:p w14:paraId="1B8BCAA9" w14:textId="77777777" w:rsidR="00C21643" w:rsidRPr="00C21643" w:rsidRDefault="00C21643" w:rsidP="00C21643">
            <w:pPr>
              <w:spacing w:line="276" w:lineRule="auto"/>
              <w:jc w:val="both"/>
              <w:rPr>
                <w:rFonts w:ascii="Palatino Linotype" w:hAnsi="Palatino Linotype" w:cs="Times New Roman"/>
                <w:sz w:val="20"/>
                <w:szCs w:val="20"/>
              </w:rPr>
            </w:pPr>
          </w:p>
          <w:p w14:paraId="5CEA73A9"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D3.1</w:t>
            </w:r>
            <w:r w:rsidRPr="00C21643">
              <w:rPr>
                <w:rFonts w:ascii="Palatino Linotype" w:hAnsi="Palatino Linotype" w:cs="Times New Roman"/>
                <w:sz w:val="20"/>
                <w:szCs w:val="20"/>
              </w:rPr>
              <w:t xml:space="preserve">    Xác định được hình thức trao đổi kết quả ĐG đến đối tượng sử dụng nhưng chưa phù hợp với mục đích, bối cảnh ĐG.</w:t>
            </w:r>
          </w:p>
          <w:p w14:paraId="2963F210"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D4.1</w:t>
            </w:r>
            <w:r w:rsidRPr="00C21643">
              <w:rPr>
                <w:rFonts w:ascii="Palatino Linotype" w:hAnsi="Palatino Linotype" w:cs="Times New Roman"/>
                <w:sz w:val="20"/>
                <w:szCs w:val="20"/>
              </w:rPr>
              <w:t xml:space="preserve">    Trao đổi thông tin ĐG chưa hiệu quả (người sử dụng không hiểu thông tin, không sử dụng thông tin để đề ra chiến lược cho bản thân) </w:t>
            </w:r>
          </w:p>
        </w:tc>
      </w:tr>
      <w:tr w:rsidR="00C21643" w:rsidRPr="00C21643" w14:paraId="64038349" w14:textId="77777777" w:rsidTr="00C21643">
        <w:tc>
          <w:tcPr>
            <w:tcW w:w="983" w:type="pct"/>
          </w:tcPr>
          <w:p w14:paraId="07699D28"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t>E. Sử dụng thông tin phản hồi</w:t>
            </w:r>
          </w:p>
        </w:tc>
        <w:tc>
          <w:tcPr>
            <w:tcW w:w="1422" w:type="pct"/>
          </w:tcPr>
          <w:p w14:paraId="79BECAE3"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E1.3</w:t>
            </w:r>
            <w:r w:rsidRPr="00C21643">
              <w:rPr>
                <w:rFonts w:ascii="Palatino Linotype" w:hAnsi="Palatino Linotype" w:cs="Times New Roman"/>
                <w:sz w:val="20"/>
                <w:szCs w:val="20"/>
              </w:rPr>
              <w:t xml:space="preserve"> Hướng dẫn và tổ chức cho HS xây dựng chiến lược học tập để cải thiện việc học hiệu quả và phù hợp với bối cảnh dạy học.</w:t>
            </w:r>
          </w:p>
          <w:p w14:paraId="277A71FC" w14:textId="77777777" w:rsidR="00C21643" w:rsidRPr="00C21643" w:rsidRDefault="00C21643" w:rsidP="00C21643">
            <w:pPr>
              <w:spacing w:line="276" w:lineRule="auto"/>
              <w:jc w:val="both"/>
              <w:rPr>
                <w:rFonts w:ascii="Palatino Linotype" w:hAnsi="Palatino Linotype" w:cs="Times New Roman"/>
                <w:b/>
                <w:sz w:val="20"/>
                <w:szCs w:val="20"/>
              </w:rPr>
            </w:pPr>
          </w:p>
          <w:p w14:paraId="1F738C6B"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E2.3</w:t>
            </w:r>
            <w:r w:rsidRPr="00C21643">
              <w:rPr>
                <w:rFonts w:ascii="Palatino Linotype" w:hAnsi="Palatino Linotype" w:cs="Times New Roman"/>
                <w:sz w:val="20"/>
                <w:szCs w:val="20"/>
              </w:rPr>
              <w:t xml:space="preserve"> Lập được kế hoạch điều chỉnh hoạt động giảng dạy của bản thân </w:t>
            </w:r>
            <w:r w:rsidRPr="00C21643">
              <w:rPr>
                <w:rFonts w:ascii="Palatino Linotype" w:hAnsi="Palatino Linotype" w:cs="Times New Roman"/>
                <w:sz w:val="20"/>
                <w:szCs w:val="20"/>
              </w:rPr>
              <w:lastRenderedPageBreak/>
              <w:t>GV dựa trên thông tin  phản hồi thu được một cách hợp lý và toàn diện.</w:t>
            </w:r>
          </w:p>
        </w:tc>
        <w:tc>
          <w:tcPr>
            <w:tcW w:w="1296" w:type="pct"/>
          </w:tcPr>
          <w:p w14:paraId="2EDE9D5E"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lastRenderedPageBreak/>
              <w:t>E1.2</w:t>
            </w:r>
            <w:r w:rsidRPr="00C21643">
              <w:rPr>
                <w:rFonts w:ascii="Palatino Linotype" w:hAnsi="Palatino Linotype" w:cs="Times New Roman"/>
                <w:sz w:val="20"/>
                <w:szCs w:val="20"/>
              </w:rPr>
              <w:t xml:space="preserve"> Hướng dẫn và tổ chức cho HS xây dựng chiến lược học tập để cải thiện việc học có hiệu quả nhưng chưa toàn diện.</w:t>
            </w:r>
          </w:p>
          <w:p w14:paraId="2D47F757" w14:textId="77777777" w:rsidR="00C21643" w:rsidRPr="00C21643" w:rsidRDefault="00C21643" w:rsidP="00C21643">
            <w:pPr>
              <w:spacing w:line="276" w:lineRule="auto"/>
              <w:jc w:val="both"/>
              <w:rPr>
                <w:rFonts w:ascii="Palatino Linotype" w:hAnsi="Palatino Linotype" w:cs="Times New Roman"/>
                <w:b/>
                <w:sz w:val="20"/>
                <w:szCs w:val="20"/>
              </w:rPr>
            </w:pPr>
          </w:p>
          <w:p w14:paraId="3CE8966D"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E2.2</w:t>
            </w:r>
            <w:r w:rsidRPr="00C21643">
              <w:rPr>
                <w:rFonts w:ascii="Palatino Linotype" w:hAnsi="Palatino Linotype" w:cs="Times New Roman"/>
                <w:sz w:val="20"/>
                <w:szCs w:val="20"/>
              </w:rPr>
              <w:t xml:space="preserve"> Lập được kế hoạch điều chỉnh hoạt </w:t>
            </w:r>
            <w:r w:rsidRPr="00C21643">
              <w:rPr>
                <w:rFonts w:ascii="Palatino Linotype" w:hAnsi="Palatino Linotype" w:cs="Times New Roman"/>
                <w:sz w:val="20"/>
                <w:szCs w:val="20"/>
              </w:rPr>
              <w:lastRenderedPageBreak/>
              <w:t>động giảng dạy của bản thân GV dựa trên thông tin phản hồi thu được nhưng chưa toàn diện.</w:t>
            </w:r>
          </w:p>
        </w:tc>
        <w:tc>
          <w:tcPr>
            <w:tcW w:w="1299" w:type="pct"/>
          </w:tcPr>
          <w:p w14:paraId="41DFBAED"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lastRenderedPageBreak/>
              <w:t>E1.1</w:t>
            </w:r>
            <w:r w:rsidRPr="00C21643">
              <w:rPr>
                <w:rFonts w:ascii="Palatino Linotype" w:hAnsi="Palatino Linotype" w:cs="Times New Roman"/>
                <w:sz w:val="20"/>
                <w:szCs w:val="20"/>
              </w:rPr>
              <w:t xml:space="preserve">  Biết cách hướng dẫn và tổ chức cho HS xây dựng chiến lược học tập để cải thiện việc học của mình nhưng chưa hiệu quả</w:t>
            </w:r>
          </w:p>
          <w:p w14:paraId="3F12DC15" w14:textId="77777777" w:rsidR="00C21643" w:rsidRPr="00C21643" w:rsidRDefault="00C21643" w:rsidP="00C21643">
            <w:pPr>
              <w:spacing w:line="276" w:lineRule="auto"/>
              <w:jc w:val="both"/>
              <w:rPr>
                <w:rFonts w:ascii="Palatino Linotype" w:hAnsi="Palatino Linotype" w:cs="Times New Roman"/>
                <w:b/>
                <w:sz w:val="20"/>
                <w:szCs w:val="20"/>
              </w:rPr>
            </w:pPr>
          </w:p>
          <w:p w14:paraId="5191DE21"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E2.1</w:t>
            </w:r>
            <w:r w:rsidRPr="00C21643">
              <w:rPr>
                <w:rFonts w:ascii="Palatino Linotype" w:hAnsi="Palatino Linotype" w:cs="Times New Roman"/>
                <w:sz w:val="20"/>
                <w:szCs w:val="20"/>
              </w:rPr>
              <w:t xml:space="preserve"> Lập được kế hoạch điều chỉnh hoạt động giảng dạy của </w:t>
            </w:r>
            <w:r w:rsidRPr="00C21643">
              <w:rPr>
                <w:rFonts w:ascii="Palatino Linotype" w:hAnsi="Palatino Linotype" w:cs="Times New Roman"/>
                <w:sz w:val="20"/>
                <w:szCs w:val="20"/>
              </w:rPr>
              <w:lastRenderedPageBreak/>
              <w:t>bản thân GV dựa trên thông tin phản hồi thu được,tuy nhiên, kế hoạch còn nhiều điểm chưa hợp lý.</w:t>
            </w:r>
          </w:p>
        </w:tc>
      </w:tr>
      <w:tr w:rsidR="00C21643" w:rsidRPr="00C21643" w14:paraId="510D28D8" w14:textId="77777777" w:rsidTr="00C21643">
        <w:tc>
          <w:tcPr>
            <w:tcW w:w="983" w:type="pct"/>
          </w:tcPr>
          <w:p w14:paraId="75D0658D"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sz w:val="20"/>
                <w:szCs w:val="20"/>
              </w:rPr>
              <w:lastRenderedPageBreak/>
              <w:t>F. Tạo mối liên kết giữa HS với hoạt động ĐG</w:t>
            </w:r>
          </w:p>
        </w:tc>
        <w:tc>
          <w:tcPr>
            <w:tcW w:w="1422" w:type="pct"/>
          </w:tcPr>
          <w:p w14:paraId="56D4D0DA"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F1.3</w:t>
            </w:r>
            <w:r w:rsidRPr="00C21643">
              <w:rPr>
                <w:rFonts w:ascii="Palatino Linotype" w:hAnsi="Palatino Linotype" w:cs="Times New Roman"/>
                <w:sz w:val="20"/>
                <w:szCs w:val="20"/>
              </w:rPr>
              <w:t xml:space="preserve"> Thực hiện chia sẻ mục tiêu hiệu quả, sáng tạo và phù hợp bối cảnh.</w:t>
            </w:r>
          </w:p>
          <w:p w14:paraId="3D5D1423" w14:textId="77777777" w:rsidR="00C21643" w:rsidRPr="00C21643" w:rsidRDefault="00C21643" w:rsidP="00C21643">
            <w:pPr>
              <w:spacing w:line="276" w:lineRule="auto"/>
              <w:jc w:val="both"/>
              <w:rPr>
                <w:rFonts w:ascii="Palatino Linotype" w:hAnsi="Palatino Linotype" w:cs="Times New Roman"/>
                <w:sz w:val="20"/>
                <w:szCs w:val="20"/>
              </w:rPr>
            </w:pPr>
          </w:p>
          <w:p w14:paraId="36DA4D7F"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F2.3</w:t>
            </w:r>
            <w:r w:rsidRPr="00C21643">
              <w:rPr>
                <w:rFonts w:ascii="Palatino Linotype" w:hAnsi="Palatino Linotype" w:cs="Times New Roman"/>
                <w:sz w:val="20"/>
                <w:szCs w:val="20"/>
              </w:rPr>
              <w:t xml:space="preserve"> Tổ chức thực hiện được các hoạt động cho HS tự ĐG và ĐG chéo hiệu quả và phù hợp với bối cảnh.</w:t>
            </w:r>
          </w:p>
          <w:p w14:paraId="6FDBBF40" w14:textId="77777777" w:rsidR="00C21643" w:rsidRPr="00C21643" w:rsidRDefault="00C21643" w:rsidP="00C21643">
            <w:pPr>
              <w:spacing w:line="276" w:lineRule="auto"/>
              <w:jc w:val="both"/>
              <w:rPr>
                <w:rFonts w:ascii="Palatino Linotype" w:hAnsi="Palatino Linotype" w:cs="Times New Roman"/>
                <w:b/>
                <w:sz w:val="20"/>
                <w:szCs w:val="20"/>
              </w:rPr>
            </w:pPr>
          </w:p>
          <w:p w14:paraId="5C44EA57"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F3.3</w:t>
            </w:r>
            <w:r w:rsidRPr="00C21643">
              <w:rPr>
                <w:rFonts w:ascii="Palatino Linotype" w:hAnsi="Palatino Linotype" w:cs="Times New Roman"/>
                <w:sz w:val="20"/>
                <w:szCs w:val="20"/>
              </w:rPr>
              <w:t xml:space="preserve"> Các hình thức khuyến khích HS đóng góp ý kiến cho bản thân, bạn học và GV hiệu quả và phù hợp với bối cảnh</w:t>
            </w:r>
          </w:p>
        </w:tc>
        <w:tc>
          <w:tcPr>
            <w:tcW w:w="1296" w:type="pct"/>
          </w:tcPr>
          <w:p w14:paraId="5ADF019E"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F1.2</w:t>
            </w:r>
            <w:r w:rsidRPr="00C21643">
              <w:rPr>
                <w:rFonts w:ascii="Palatino Linotype" w:hAnsi="Palatino Linotype" w:cs="Times New Roman"/>
                <w:sz w:val="20"/>
                <w:szCs w:val="20"/>
              </w:rPr>
              <w:t xml:space="preserve"> Thực hiện chia sẻ mục tiêu đến HS nhưng cách chia sẻ chưa phù hợp với bối cảnh.</w:t>
            </w:r>
          </w:p>
          <w:p w14:paraId="384DE776"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F2.2</w:t>
            </w:r>
            <w:r w:rsidRPr="00C21643">
              <w:rPr>
                <w:rFonts w:ascii="Palatino Linotype" w:hAnsi="Palatino Linotype" w:cs="Times New Roman"/>
                <w:sz w:val="20"/>
                <w:szCs w:val="20"/>
              </w:rPr>
              <w:t xml:space="preserve"> Tổ chức thực hiện được các hoạt động cho HS tự ĐG và ĐG chéo trên lớp nhưng chưa phù hợp với bối cảnh</w:t>
            </w:r>
          </w:p>
          <w:p w14:paraId="1FB56446"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F3.2</w:t>
            </w:r>
            <w:r w:rsidRPr="00C21643">
              <w:rPr>
                <w:rFonts w:ascii="Palatino Linotype" w:hAnsi="Palatino Linotype" w:cs="Times New Roman"/>
                <w:sz w:val="20"/>
                <w:szCs w:val="20"/>
              </w:rPr>
              <w:t xml:space="preserve"> Các hình thức khuyến khích HS đóng góp ý kiến cho bản thân, bạn học và GV đạt hiệu quả nhưng chưa phù hợp với bối cảnh</w:t>
            </w:r>
          </w:p>
        </w:tc>
        <w:tc>
          <w:tcPr>
            <w:tcW w:w="1299" w:type="pct"/>
          </w:tcPr>
          <w:p w14:paraId="0CD49312"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F1.1</w:t>
            </w:r>
            <w:r w:rsidRPr="00C21643">
              <w:rPr>
                <w:rFonts w:ascii="Palatino Linotype" w:hAnsi="Palatino Linotype" w:cs="Times New Roman"/>
                <w:sz w:val="20"/>
                <w:szCs w:val="20"/>
              </w:rPr>
              <w:t xml:space="preserve"> Có thực hiện chia sẻ mục tiêu nhưng không phù hợp, không hiệu quả</w:t>
            </w:r>
          </w:p>
          <w:p w14:paraId="521AD182" w14:textId="77777777" w:rsidR="00C21643" w:rsidRPr="00C21643" w:rsidRDefault="00C21643" w:rsidP="00C21643">
            <w:pPr>
              <w:spacing w:line="276" w:lineRule="auto"/>
              <w:jc w:val="both"/>
              <w:rPr>
                <w:rFonts w:ascii="Palatino Linotype" w:hAnsi="Palatino Linotype" w:cs="Times New Roman"/>
                <w:sz w:val="20"/>
                <w:szCs w:val="20"/>
              </w:rPr>
            </w:pPr>
          </w:p>
          <w:p w14:paraId="69E45C5D"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F2.1</w:t>
            </w:r>
            <w:r w:rsidRPr="00C21643">
              <w:rPr>
                <w:rFonts w:ascii="Palatino Linotype" w:hAnsi="Palatino Linotype" w:cs="Times New Roman"/>
                <w:sz w:val="20"/>
                <w:szCs w:val="20"/>
              </w:rPr>
              <w:t xml:space="preserve"> Biết cách tổ chức thực hiện  các hoạt động cho HS tự ĐG và ĐG chéo trên lớp nhưng không hiệu quả</w:t>
            </w:r>
          </w:p>
          <w:p w14:paraId="78B84A73" w14:textId="77777777" w:rsidR="00C21643" w:rsidRPr="00C21643" w:rsidRDefault="00C21643" w:rsidP="00C21643">
            <w:pPr>
              <w:spacing w:line="276" w:lineRule="auto"/>
              <w:jc w:val="both"/>
              <w:rPr>
                <w:rFonts w:ascii="Palatino Linotype" w:hAnsi="Palatino Linotype" w:cs="Times New Roman"/>
                <w:sz w:val="20"/>
                <w:szCs w:val="20"/>
              </w:rPr>
            </w:pPr>
            <w:r w:rsidRPr="00C21643">
              <w:rPr>
                <w:rFonts w:ascii="Palatino Linotype" w:hAnsi="Palatino Linotype" w:cs="Times New Roman"/>
                <w:b/>
                <w:sz w:val="20"/>
                <w:szCs w:val="20"/>
              </w:rPr>
              <w:t>F3.1</w:t>
            </w:r>
            <w:r w:rsidRPr="00C21643">
              <w:rPr>
                <w:rFonts w:ascii="Palatino Linotype" w:hAnsi="Palatino Linotype" w:cs="Times New Roman"/>
                <w:sz w:val="20"/>
                <w:szCs w:val="20"/>
              </w:rPr>
              <w:t xml:space="preserve"> Các hình thức khuyến khích HS đóng góp ý kiến cho bản thân, bạn học và GV không phù hợp, không hiệu quả</w:t>
            </w:r>
          </w:p>
        </w:tc>
      </w:tr>
    </w:tbl>
    <w:p w14:paraId="00E4C51B" w14:textId="77777777" w:rsidR="00C21643" w:rsidRPr="00C21643" w:rsidRDefault="00C21643" w:rsidP="00C21643">
      <w:pPr>
        <w:spacing w:before="240" w:after="40" w:line="276" w:lineRule="auto"/>
        <w:ind w:firstLine="720"/>
        <w:jc w:val="both"/>
        <w:rPr>
          <w:rFonts w:ascii="Palatino Linotype" w:hAnsi="Palatino Linotype" w:cs="Times New Roman"/>
          <w:sz w:val="20"/>
          <w:szCs w:val="20"/>
        </w:rPr>
      </w:pPr>
      <w:proofErr w:type="gramStart"/>
      <w:r w:rsidRPr="00C21643">
        <w:rPr>
          <w:rFonts w:ascii="Palatino Linotype" w:hAnsi="Palatino Linotype" w:cs="Times New Roman"/>
          <w:sz w:val="20"/>
          <w:szCs w:val="20"/>
        </w:rPr>
        <w:t>Để xác định mức độ kỹ năng ĐGQT mà SV đạt được, cần phải xác định sự đóng góp của các kĩ năng thành phần trong kỹ năng tổng hợp.</w:t>
      </w:r>
      <w:proofErr w:type="gramEnd"/>
      <w:r w:rsidRPr="00C21643">
        <w:rPr>
          <w:rFonts w:ascii="Palatino Linotype" w:hAnsi="Palatino Linotype" w:cs="Times New Roman"/>
          <w:sz w:val="20"/>
          <w:szCs w:val="20"/>
        </w:rPr>
        <w:t xml:space="preserve"> Trên cơ sở tham khảo ý kiến chuyên gia và thực nghiệm khảo sát để xác định độ khó, dễ của việc rèn luyện các kỹ năng thành phần trong thực tế. </w:t>
      </w:r>
      <w:proofErr w:type="gramStart"/>
      <w:r w:rsidRPr="00C21643">
        <w:rPr>
          <w:rFonts w:ascii="Palatino Linotype" w:hAnsi="Palatino Linotype" w:cs="Times New Roman"/>
          <w:sz w:val="20"/>
          <w:szCs w:val="20"/>
        </w:rPr>
        <w:t>Chúng tôi thấy rằng, trong các kỹ năng thành phần, kỹ năng Tạo mối liên kết giữa HS và hoạt động ĐG (F) có mức độ khó cao.</w:t>
      </w:r>
      <w:proofErr w:type="gramEnd"/>
      <w:r w:rsidRPr="00C21643">
        <w:rPr>
          <w:rFonts w:ascii="Palatino Linotype" w:hAnsi="Palatino Linotype" w:cs="Times New Roman"/>
          <w:sz w:val="20"/>
          <w:szCs w:val="20"/>
        </w:rPr>
        <w:t xml:space="preserve"> Do vậy, SV rất khó để đạt được mức Thành thạo đối các kỹ năng này.  Bên cạnh đó kỹ năng Xác định phương pháp ĐG và thiết kế công cụ ĐG (C), Xử lý và thu nhận thông tin phản hồi (D), Sử dụng thông tin phản hồi (E) đóng góp vai trò quan trọng đối với kỹ năng tổng hợp. Trên cơ sở đó, chúng tôi xác định như sau:</w:t>
      </w:r>
    </w:p>
    <w:p w14:paraId="636A6018" w14:textId="77777777" w:rsidR="00C21643" w:rsidRPr="00C21643" w:rsidRDefault="00C21643" w:rsidP="00C21643">
      <w:pPr>
        <w:spacing w:before="120" w:after="40" w:line="276" w:lineRule="auto"/>
        <w:ind w:firstLine="720"/>
        <w:jc w:val="both"/>
        <w:rPr>
          <w:rFonts w:ascii="Palatino Linotype" w:hAnsi="Palatino Linotype" w:cs="Times New Roman"/>
          <w:sz w:val="20"/>
          <w:szCs w:val="20"/>
        </w:rPr>
      </w:pPr>
      <w:r w:rsidRPr="00C21643">
        <w:rPr>
          <w:rFonts w:ascii="Palatino Linotype" w:hAnsi="Palatino Linotype" w:cs="Times New Roman"/>
          <w:sz w:val="20"/>
          <w:szCs w:val="20"/>
        </w:rPr>
        <w:t>SV đạt mức Sơ khởi (mức 1) của kỹ năng tổng hợp khi các kỹ năng thành phần (C), (D), (E) và (F) đạt được mức 1,  kỹ năng (A) và (B) có thể đạt mức 1 hoặc mức 2.</w:t>
      </w:r>
    </w:p>
    <w:p w14:paraId="02F556E9" w14:textId="77777777" w:rsidR="00C21643" w:rsidRPr="00C21643" w:rsidRDefault="00C21643" w:rsidP="00C21643">
      <w:pPr>
        <w:spacing w:before="120" w:after="40" w:line="276" w:lineRule="auto"/>
        <w:ind w:firstLine="720"/>
        <w:jc w:val="both"/>
        <w:rPr>
          <w:rFonts w:ascii="Palatino Linotype" w:hAnsi="Palatino Linotype" w:cs="Times New Roman"/>
          <w:sz w:val="20"/>
          <w:szCs w:val="20"/>
        </w:rPr>
      </w:pPr>
      <w:r w:rsidRPr="00C21643">
        <w:rPr>
          <w:rFonts w:ascii="Palatino Linotype" w:hAnsi="Palatino Linotype" w:cs="Times New Roman"/>
          <w:sz w:val="20"/>
          <w:szCs w:val="20"/>
        </w:rPr>
        <w:t>SV đạt mức Có kỹ năng (mức 2) của kỹ năng tổng hợp khi các kỹ năng thành phần phần (C), (D), (E) và (F) đạt được mức 2,  kỹ năng (A) và (B) có thể đạt mức 2 hoặc mức 3.</w:t>
      </w:r>
    </w:p>
    <w:p w14:paraId="1913CD96" w14:textId="77777777" w:rsidR="00C21643" w:rsidRPr="00C21643" w:rsidRDefault="00C21643" w:rsidP="00C21643">
      <w:pPr>
        <w:spacing w:before="120" w:after="40" w:line="276" w:lineRule="auto"/>
        <w:ind w:firstLine="720"/>
        <w:jc w:val="both"/>
        <w:rPr>
          <w:rFonts w:ascii="Palatino Linotype" w:hAnsi="Palatino Linotype" w:cs="Times New Roman"/>
          <w:sz w:val="20"/>
          <w:szCs w:val="20"/>
        </w:rPr>
      </w:pPr>
      <w:r w:rsidRPr="00C21643">
        <w:rPr>
          <w:rFonts w:ascii="Palatino Linotype" w:hAnsi="Palatino Linotype" w:cs="Times New Roman"/>
          <w:sz w:val="20"/>
          <w:szCs w:val="20"/>
        </w:rPr>
        <w:lastRenderedPageBreak/>
        <w:t>SV đạt mức Thành thạo (mức 3) của kỹ năng tổng hợp khi các kỹ năng thành phần phần (A), (B), (C), (D), (E) phải đạt được mức 3,  kỹ năng (F) có thể đạt mức 2 hoặc mức 3.</w:t>
      </w:r>
    </w:p>
    <w:p w14:paraId="27C2BC07" w14:textId="77777777" w:rsidR="00C21643" w:rsidRPr="00C21643" w:rsidRDefault="00C21643" w:rsidP="00C21643">
      <w:pPr>
        <w:spacing w:before="360" w:after="240" w:line="276" w:lineRule="auto"/>
        <w:jc w:val="both"/>
        <w:rPr>
          <w:rFonts w:ascii="Palatino Linotype" w:hAnsi="Palatino Linotype" w:cs="Times New Roman"/>
          <w:b/>
          <w:sz w:val="24"/>
          <w:szCs w:val="24"/>
        </w:rPr>
      </w:pPr>
      <w:r w:rsidRPr="00C21643">
        <w:rPr>
          <w:rFonts w:ascii="Palatino Linotype" w:hAnsi="Palatino Linotype" w:cs="Times New Roman"/>
          <w:b/>
          <w:sz w:val="24"/>
          <w:szCs w:val="24"/>
        </w:rPr>
        <w:t>3. Kết luận</w:t>
      </w:r>
    </w:p>
    <w:p w14:paraId="74B41C6D" w14:textId="77777777" w:rsidR="00C21643" w:rsidRPr="00C21643" w:rsidRDefault="00C21643" w:rsidP="00C21643">
      <w:pPr>
        <w:spacing w:before="120" w:after="60" w:line="276" w:lineRule="auto"/>
        <w:jc w:val="both"/>
        <w:rPr>
          <w:rFonts w:ascii="Palatino Linotype" w:hAnsi="Palatino Linotype" w:cs="Times New Roman"/>
          <w:b/>
          <w:sz w:val="20"/>
          <w:szCs w:val="20"/>
        </w:rPr>
      </w:pPr>
      <w:r w:rsidRPr="00C21643">
        <w:rPr>
          <w:rFonts w:ascii="Palatino Linotype" w:hAnsi="Palatino Linotype" w:cs="Times New Roman"/>
          <w:b/>
          <w:sz w:val="20"/>
          <w:szCs w:val="20"/>
        </w:rPr>
        <w:tab/>
      </w:r>
      <w:r w:rsidRPr="00C21643">
        <w:rPr>
          <w:rFonts w:ascii="Palatino Linotype" w:hAnsi="Palatino Linotype" w:cs="Times New Roman"/>
          <w:sz w:val="20"/>
          <w:szCs w:val="20"/>
        </w:rPr>
        <w:t xml:space="preserve">Với xu hướng đổi mới hoạt động ĐG </w:t>
      </w:r>
      <w:proofErr w:type="gramStart"/>
      <w:r w:rsidRPr="00C21643">
        <w:rPr>
          <w:rFonts w:ascii="Palatino Linotype" w:hAnsi="Palatino Linotype" w:cs="Times New Roman"/>
          <w:sz w:val="20"/>
          <w:szCs w:val="20"/>
        </w:rPr>
        <w:t>theo</w:t>
      </w:r>
      <w:proofErr w:type="gramEnd"/>
      <w:r w:rsidRPr="00C21643">
        <w:rPr>
          <w:rFonts w:ascii="Palatino Linotype" w:hAnsi="Palatino Linotype" w:cs="Times New Roman"/>
          <w:sz w:val="20"/>
          <w:szCs w:val="20"/>
        </w:rPr>
        <w:t xml:space="preserve"> định hướng phát triển năng lực – ĐG vì sự tiến bộ của người học hiện nay, nâng cao nhận thức và rèn luyện kỹ năng ĐGQT cho SV là một trong những nhiệm vụ quan trọng của các trường sư phạm. Bảng tiêu chí ĐG các mức độ đạt được về kỹ năng ĐGQT sẽ là nguồn tài liệu tham khảo hữu ích để các trường đào tạo giáo viên xây dựng nội dung và kế hoạch rèn luyện kỹ năng này cho SV. Bên cạnh đó, với việc ĐG biểu hiện của kỹ năng ĐGQT các mức độ từ thấp đến cao gồm (Sơ khởi, Có kỹ năng và Thành thạo) sẽ giúp thấy được vị trí trên đường phát triển ĐGQT của SV, từ đó có những điều chỉnh cải tiến nhằm giúp người học đạt được kỹ năng này.</w:t>
      </w:r>
    </w:p>
    <w:p w14:paraId="3CB3712B" w14:textId="4F6564A9" w:rsidR="00C21643" w:rsidRPr="00C21643" w:rsidRDefault="00C21643" w:rsidP="00EA3368">
      <w:pPr>
        <w:spacing w:before="600" w:after="480" w:line="276" w:lineRule="auto"/>
        <w:jc w:val="center"/>
        <w:rPr>
          <w:rFonts w:ascii="Palatino Linotype" w:hAnsi="Palatino Linotype" w:cs="Times New Roman"/>
          <w:b/>
          <w:szCs w:val="28"/>
        </w:rPr>
      </w:pPr>
      <w:r w:rsidRPr="00C21643">
        <w:rPr>
          <w:rFonts w:ascii="Palatino Linotype" w:hAnsi="Palatino Linotype" w:cs="Times New Roman"/>
          <w:b/>
          <w:szCs w:val="28"/>
        </w:rPr>
        <w:t>TÀI LIỆU THAM KHẢO</w:t>
      </w:r>
    </w:p>
    <w:p w14:paraId="4B0943EE" w14:textId="36FEB063"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b/>
          <w:sz w:val="20"/>
          <w:szCs w:val="20"/>
        </w:rPr>
        <w:fldChar w:fldCharType="begin" w:fldLock="1"/>
      </w:r>
      <w:r w:rsidRPr="00C21643">
        <w:rPr>
          <w:rFonts w:ascii="Palatino Linotype" w:hAnsi="Palatino Linotype" w:cs="Times New Roman"/>
          <w:b/>
          <w:sz w:val="20"/>
          <w:szCs w:val="20"/>
        </w:rPr>
        <w:instrText xml:space="preserve">ADDIN Mendeley Bibliography CSL_BIBLIOGRAPHY </w:instrText>
      </w:r>
      <w:r w:rsidRPr="00C21643">
        <w:rPr>
          <w:rFonts w:ascii="Palatino Linotype" w:hAnsi="Palatino Linotype" w:cs="Times New Roman"/>
          <w:b/>
          <w:sz w:val="20"/>
          <w:szCs w:val="20"/>
        </w:rPr>
        <w:fldChar w:fldCharType="separate"/>
      </w:r>
      <w:r w:rsidRPr="00C21643">
        <w:rPr>
          <w:rFonts w:ascii="Palatino Linotype" w:hAnsi="Palatino Linotype" w:cs="Times New Roman"/>
          <w:noProof/>
          <w:sz w:val="20"/>
          <w:szCs w:val="20"/>
        </w:rPr>
        <w:t xml:space="preserve">P. Black and D. Wiliam (1998)“Assessment and Classroom Learning,” </w:t>
      </w:r>
      <w:r w:rsidRPr="00C21643">
        <w:rPr>
          <w:rFonts w:ascii="Palatino Linotype" w:hAnsi="Palatino Linotype" w:cs="Times New Roman"/>
          <w:i/>
          <w:iCs/>
          <w:noProof/>
          <w:sz w:val="20"/>
          <w:szCs w:val="20"/>
        </w:rPr>
        <w:t>Assess. Educ. Princ. Policy Pract.</w:t>
      </w:r>
      <w:r w:rsidRPr="00C21643">
        <w:rPr>
          <w:rFonts w:ascii="Palatino Linotype" w:hAnsi="Palatino Linotype" w:cs="Times New Roman"/>
          <w:noProof/>
          <w:sz w:val="20"/>
          <w:szCs w:val="20"/>
        </w:rPr>
        <w:t>, vol. 5, no. 1, pp. 7–74, doi: 10.1080/0969595980050102.</w:t>
      </w:r>
    </w:p>
    <w:p w14:paraId="3D7FDBFA" w14:textId="5FCBFA7C"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t xml:space="preserve">B. Bell and B. Cowie (2001), “The characteristics of formative assessment in science education,” </w:t>
      </w:r>
      <w:r w:rsidRPr="00C21643">
        <w:rPr>
          <w:rFonts w:ascii="Palatino Linotype" w:hAnsi="Palatino Linotype" w:cs="Times New Roman"/>
          <w:i/>
          <w:iCs/>
          <w:noProof/>
          <w:sz w:val="20"/>
          <w:szCs w:val="20"/>
        </w:rPr>
        <w:t>Sci. Educ.</w:t>
      </w:r>
      <w:r w:rsidRPr="00C21643">
        <w:rPr>
          <w:rFonts w:ascii="Palatino Linotype" w:hAnsi="Palatino Linotype" w:cs="Times New Roman"/>
          <w:noProof/>
          <w:sz w:val="20"/>
          <w:szCs w:val="20"/>
        </w:rPr>
        <w:t>, vol. 85, no. 5, pp. 536–553.</w:t>
      </w:r>
    </w:p>
    <w:p w14:paraId="6D26C97A" w14:textId="30E14C29"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t xml:space="preserve">D. R. Sadler (1989), “Formative assessment and the design of instructional systems,” </w:t>
      </w:r>
      <w:r w:rsidRPr="00C21643">
        <w:rPr>
          <w:rFonts w:ascii="Palatino Linotype" w:hAnsi="Palatino Linotype" w:cs="Times New Roman"/>
          <w:i/>
          <w:iCs/>
          <w:noProof/>
          <w:sz w:val="20"/>
          <w:szCs w:val="20"/>
        </w:rPr>
        <w:t>Instr. Sci.</w:t>
      </w:r>
      <w:r w:rsidRPr="00C21643">
        <w:rPr>
          <w:rFonts w:ascii="Palatino Linotype" w:hAnsi="Palatino Linotype" w:cs="Times New Roman"/>
          <w:noProof/>
          <w:sz w:val="20"/>
          <w:szCs w:val="20"/>
        </w:rPr>
        <w:t>, vol. 18, no. 2, pp. 119–14.</w:t>
      </w:r>
    </w:p>
    <w:p w14:paraId="040C4E5A" w14:textId="74A3905E"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t xml:space="preserve">S. M. Brookhart and W. E. Loadman (1992), “Teacher assessment and validity: What do we want to know?,” </w:t>
      </w:r>
      <w:r w:rsidRPr="00C21643">
        <w:rPr>
          <w:rFonts w:ascii="Palatino Linotype" w:hAnsi="Palatino Linotype" w:cs="Times New Roman"/>
          <w:i/>
          <w:iCs/>
          <w:noProof/>
          <w:sz w:val="20"/>
          <w:szCs w:val="20"/>
        </w:rPr>
        <w:t>J. Pers. Eval. Educ.</w:t>
      </w:r>
      <w:r w:rsidRPr="00C21643">
        <w:rPr>
          <w:rFonts w:ascii="Palatino Linotype" w:hAnsi="Palatino Linotype" w:cs="Times New Roman"/>
          <w:noProof/>
          <w:sz w:val="20"/>
          <w:szCs w:val="20"/>
        </w:rPr>
        <w:t>, vol. 5, no. 4, pp. 347–357.</w:t>
      </w:r>
    </w:p>
    <w:p w14:paraId="67267E14" w14:textId="1927E904"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t xml:space="preserve">D. J. Nicol and D. Macfarlane‐Dick (2006), “Formative assessment and self‐regulated learning: A model and seven principles of good feedback practice,” </w:t>
      </w:r>
      <w:r w:rsidRPr="00C21643">
        <w:rPr>
          <w:rFonts w:ascii="Palatino Linotype" w:hAnsi="Palatino Linotype" w:cs="Times New Roman"/>
          <w:i/>
          <w:iCs/>
          <w:noProof/>
          <w:sz w:val="20"/>
          <w:szCs w:val="20"/>
        </w:rPr>
        <w:t>Stud. High. Educ.</w:t>
      </w:r>
      <w:r w:rsidRPr="00C21643">
        <w:rPr>
          <w:rFonts w:ascii="Palatino Linotype" w:hAnsi="Palatino Linotype" w:cs="Times New Roman"/>
          <w:noProof/>
          <w:sz w:val="20"/>
          <w:szCs w:val="20"/>
        </w:rPr>
        <w:t>, vol. 31, no. 2, pp. 199–218.</w:t>
      </w:r>
    </w:p>
    <w:p w14:paraId="4ABFA5A0" w14:textId="1A4F8D35"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t xml:space="preserve">C. A. Wolters (2010), “Self-regulated learning and the 21st century competencies,” </w:t>
      </w:r>
      <w:r w:rsidRPr="00C21643">
        <w:rPr>
          <w:rFonts w:ascii="Palatino Linotype" w:hAnsi="Palatino Linotype" w:cs="Times New Roman"/>
          <w:i/>
          <w:iCs/>
          <w:noProof/>
          <w:sz w:val="20"/>
          <w:szCs w:val="20"/>
        </w:rPr>
        <w:t>Univ. Houst. Dep. Educ. Psychol. Consult. en http//www. hewlett. org/uploads/Self_Regulated_Learning__21st_Century_Competencies. pdf</w:t>
      </w:r>
      <w:r w:rsidRPr="00C21643">
        <w:rPr>
          <w:rFonts w:ascii="Palatino Linotype" w:hAnsi="Palatino Linotype" w:cs="Times New Roman"/>
          <w:noProof/>
          <w:sz w:val="20"/>
          <w:szCs w:val="20"/>
        </w:rPr>
        <w:t>.</w:t>
      </w:r>
    </w:p>
    <w:p w14:paraId="3541B53B" w14:textId="39172BD2"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t xml:space="preserve">G. A. Buck, A. Trauth‐Nare, and J. Kaftan (2010), “Making formative assessment discernable to pre‐service teachers of science,” </w:t>
      </w:r>
      <w:r w:rsidRPr="00C21643">
        <w:rPr>
          <w:rFonts w:ascii="Palatino Linotype" w:hAnsi="Palatino Linotype" w:cs="Times New Roman"/>
          <w:i/>
          <w:iCs/>
          <w:noProof/>
          <w:sz w:val="20"/>
          <w:szCs w:val="20"/>
        </w:rPr>
        <w:t>J. Res. Sci. Teach.</w:t>
      </w:r>
      <w:r w:rsidRPr="00C21643">
        <w:rPr>
          <w:rFonts w:ascii="Palatino Linotype" w:hAnsi="Palatino Linotype" w:cs="Times New Roman"/>
          <w:noProof/>
          <w:sz w:val="20"/>
          <w:szCs w:val="20"/>
        </w:rPr>
        <w:t>, vol. 47, no. 4, pp. 402–421.</w:t>
      </w:r>
    </w:p>
    <w:p w14:paraId="34D26490" w14:textId="035F5841"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lastRenderedPageBreak/>
        <w:t xml:space="preserve">D. M. A. Sluijsmans, S. Brand-Gruwel, and J. J. G. van Merriënboer (2002), “Peer Assessment Training in Teacher Education: Effects on performance and perceptions,” </w:t>
      </w:r>
      <w:r w:rsidRPr="00C21643">
        <w:rPr>
          <w:rFonts w:ascii="Palatino Linotype" w:hAnsi="Palatino Linotype" w:cs="Times New Roman"/>
          <w:i/>
          <w:iCs/>
          <w:noProof/>
          <w:sz w:val="20"/>
          <w:szCs w:val="20"/>
        </w:rPr>
        <w:t>Assess. Eval. High. Educ.</w:t>
      </w:r>
      <w:r w:rsidRPr="00C21643">
        <w:rPr>
          <w:rFonts w:ascii="Palatino Linotype" w:hAnsi="Palatino Linotype" w:cs="Times New Roman"/>
          <w:noProof/>
          <w:sz w:val="20"/>
          <w:szCs w:val="20"/>
        </w:rPr>
        <w:t>, vol. 27, no. 5, pp. 443–454, doi: 10.1080/0260293022000009311.</w:t>
      </w:r>
    </w:p>
    <w:p w14:paraId="0668B0C6" w14:textId="6DBFAA5F"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t xml:space="preserve">P. Graham (2005), “Classroom-based assessment: Changing knowledge and practice through preservice teacher education,” </w:t>
      </w:r>
      <w:r w:rsidRPr="00C21643">
        <w:rPr>
          <w:rFonts w:ascii="Palatino Linotype" w:hAnsi="Palatino Linotype" w:cs="Times New Roman"/>
          <w:i/>
          <w:iCs/>
          <w:noProof/>
          <w:sz w:val="20"/>
          <w:szCs w:val="20"/>
        </w:rPr>
        <w:t>Teach. Teach. Educ.</w:t>
      </w:r>
      <w:r w:rsidRPr="00C21643">
        <w:rPr>
          <w:rFonts w:ascii="Palatino Linotype" w:hAnsi="Palatino Linotype" w:cs="Times New Roman"/>
          <w:noProof/>
          <w:sz w:val="20"/>
          <w:szCs w:val="20"/>
        </w:rPr>
        <w:t>, vol. 21, no. 6, pp. 607–621.</w:t>
      </w:r>
    </w:p>
    <w:p w14:paraId="795241D7" w14:textId="114507EA"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t xml:space="preserve">R. J. Stiggins (1999), “Evaluating classroom assessment training in teacher education programs,” </w:t>
      </w:r>
      <w:r w:rsidRPr="00C21643">
        <w:rPr>
          <w:rFonts w:ascii="Palatino Linotype" w:hAnsi="Palatino Linotype" w:cs="Times New Roman"/>
          <w:i/>
          <w:iCs/>
          <w:noProof/>
          <w:sz w:val="20"/>
          <w:szCs w:val="20"/>
        </w:rPr>
        <w:t>Educ. Meas. Issues Pract.</w:t>
      </w:r>
      <w:r w:rsidRPr="00C21643">
        <w:rPr>
          <w:rFonts w:ascii="Palatino Linotype" w:hAnsi="Palatino Linotype" w:cs="Times New Roman"/>
          <w:noProof/>
          <w:sz w:val="20"/>
          <w:szCs w:val="20"/>
        </w:rPr>
        <w:t>, vol. 18, no. 1, pp. 23–27.</w:t>
      </w:r>
    </w:p>
    <w:p w14:paraId="63B4D1DC" w14:textId="7BDCC214"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t xml:space="preserve">Bộ Giáo dục và Đào tạo (2018), </w:t>
      </w:r>
      <w:r w:rsidRPr="00C21643">
        <w:rPr>
          <w:rFonts w:ascii="Palatino Linotype" w:hAnsi="Palatino Linotype" w:cs="Times New Roman"/>
          <w:i/>
          <w:iCs/>
          <w:noProof/>
          <w:sz w:val="20"/>
          <w:szCs w:val="20"/>
        </w:rPr>
        <w:t>Chương trình giáo dục phổ thông - chương trình tổng thể</w:t>
      </w:r>
      <w:r w:rsidRPr="00C21643">
        <w:rPr>
          <w:rFonts w:ascii="Palatino Linotype" w:hAnsi="Palatino Linotype" w:cs="Times New Roman"/>
          <w:noProof/>
          <w:sz w:val="20"/>
          <w:szCs w:val="20"/>
        </w:rPr>
        <w:t>. Việt Nam.</w:t>
      </w:r>
    </w:p>
    <w:p w14:paraId="2AE3CF66" w14:textId="78673781"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t xml:space="preserve">M. Christoforidou, L. Kyriakides, P. Antoniou, and B. P. M. Creemers (2014), “Searching for stages of teacher’s skills in assessment,” </w:t>
      </w:r>
      <w:r w:rsidRPr="00C21643">
        <w:rPr>
          <w:rFonts w:ascii="Palatino Linotype" w:hAnsi="Palatino Linotype" w:cs="Times New Roman"/>
          <w:i/>
          <w:iCs/>
          <w:noProof/>
          <w:sz w:val="20"/>
          <w:szCs w:val="20"/>
        </w:rPr>
        <w:t>Stud. Educ. Eval.</w:t>
      </w:r>
      <w:r w:rsidRPr="00C21643">
        <w:rPr>
          <w:rFonts w:ascii="Palatino Linotype" w:hAnsi="Palatino Linotype" w:cs="Times New Roman"/>
          <w:noProof/>
          <w:sz w:val="20"/>
          <w:szCs w:val="20"/>
        </w:rPr>
        <w:t>, vol. 40, pp. 1–11, doi: https://doi.org/10.1016/j.stueduc.2013.11.006.</w:t>
      </w:r>
    </w:p>
    <w:p w14:paraId="009833CE" w14:textId="52BD5346"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t xml:space="preserve">R. Stiggins (2010), “Essential formative assessment competencies for teachers and school leaders,” </w:t>
      </w:r>
      <w:r w:rsidRPr="00C21643">
        <w:rPr>
          <w:rFonts w:ascii="Palatino Linotype" w:hAnsi="Palatino Linotype" w:cs="Times New Roman"/>
          <w:i/>
          <w:iCs/>
          <w:noProof/>
          <w:sz w:val="20"/>
          <w:szCs w:val="20"/>
        </w:rPr>
        <w:t>Handb. Form. Assess.</w:t>
      </w:r>
      <w:r w:rsidRPr="00C21643">
        <w:rPr>
          <w:rFonts w:ascii="Palatino Linotype" w:hAnsi="Palatino Linotype" w:cs="Times New Roman"/>
          <w:noProof/>
          <w:sz w:val="20"/>
          <w:szCs w:val="20"/>
        </w:rPr>
        <w:t>, pp. 233–250.</w:t>
      </w:r>
    </w:p>
    <w:p w14:paraId="6A081EB4" w14:textId="6921B68A"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t xml:space="preserve">P. Black, C. Harrison, C. Lee, B. Marshall, and D. Wiliam (2003), </w:t>
      </w:r>
      <w:r w:rsidRPr="00C21643">
        <w:rPr>
          <w:rFonts w:ascii="Palatino Linotype" w:hAnsi="Palatino Linotype" w:cs="Times New Roman"/>
          <w:i/>
          <w:iCs/>
          <w:noProof/>
          <w:sz w:val="20"/>
          <w:szCs w:val="20"/>
        </w:rPr>
        <w:t>Assessment for learning: Putting it into practice</w:t>
      </w:r>
      <w:r w:rsidRPr="00C21643">
        <w:rPr>
          <w:rFonts w:ascii="Palatino Linotype" w:hAnsi="Palatino Linotype" w:cs="Times New Roman"/>
          <w:noProof/>
          <w:sz w:val="20"/>
          <w:szCs w:val="20"/>
        </w:rPr>
        <w:t>. Buckingham: : Open University Press.</w:t>
      </w:r>
    </w:p>
    <w:p w14:paraId="548EDA6C" w14:textId="14101C90"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t xml:space="preserve">R. H. Dave (1970, </w:t>
      </w:r>
      <w:r w:rsidRPr="00C21643">
        <w:rPr>
          <w:rFonts w:ascii="Palatino Linotype" w:hAnsi="Palatino Linotype" w:cs="Times New Roman"/>
          <w:i/>
          <w:iCs/>
          <w:noProof/>
          <w:sz w:val="20"/>
          <w:szCs w:val="20"/>
        </w:rPr>
        <w:t>Developing and writing behavioural objectives</w:t>
      </w:r>
      <w:r w:rsidRPr="00C21643">
        <w:rPr>
          <w:rFonts w:ascii="Palatino Linotype" w:hAnsi="Palatino Linotype" w:cs="Times New Roman"/>
          <w:noProof/>
          <w:sz w:val="20"/>
          <w:szCs w:val="20"/>
        </w:rPr>
        <w:t>. Educational Innovators Press.</w:t>
      </w:r>
    </w:p>
    <w:p w14:paraId="075E5048" w14:textId="3BF897A2"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t xml:space="preserve">S. E. Dreyfus (2004), “The five-stage model of adult skill acquisition,” </w:t>
      </w:r>
      <w:r w:rsidRPr="00C21643">
        <w:rPr>
          <w:rFonts w:ascii="Palatino Linotype" w:hAnsi="Palatino Linotype" w:cs="Times New Roman"/>
          <w:i/>
          <w:iCs/>
          <w:noProof/>
          <w:sz w:val="20"/>
          <w:szCs w:val="20"/>
        </w:rPr>
        <w:t>Bull. Sci. Technol. Soc.</w:t>
      </w:r>
      <w:r w:rsidRPr="00C21643">
        <w:rPr>
          <w:rFonts w:ascii="Palatino Linotype" w:hAnsi="Palatino Linotype" w:cs="Times New Roman"/>
          <w:noProof/>
          <w:sz w:val="20"/>
          <w:szCs w:val="20"/>
        </w:rPr>
        <w:t>, vol. 24, no. 3, pp. 177–181.</w:t>
      </w:r>
    </w:p>
    <w:p w14:paraId="483A94FA" w14:textId="5FE3119F"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t xml:space="preserve">A. J. Harrow (1972), </w:t>
      </w:r>
      <w:r w:rsidRPr="00C21643">
        <w:rPr>
          <w:rFonts w:ascii="Palatino Linotype" w:hAnsi="Palatino Linotype" w:cs="Times New Roman"/>
          <w:i/>
          <w:iCs/>
          <w:noProof/>
          <w:sz w:val="20"/>
          <w:szCs w:val="20"/>
        </w:rPr>
        <w:t>A taxonomy of the psychomotor domain: A guide for developing behavioral objectives</w:t>
      </w:r>
      <w:r w:rsidRPr="00C21643">
        <w:rPr>
          <w:rFonts w:ascii="Palatino Linotype" w:hAnsi="Palatino Linotype" w:cs="Times New Roman"/>
          <w:noProof/>
          <w:sz w:val="20"/>
          <w:szCs w:val="20"/>
        </w:rPr>
        <w:t>. Addison-Wesley Longman Ltd.</w:t>
      </w:r>
    </w:p>
    <w:p w14:paraId="0A7204DA" w14:textId="7A1E4F97" w:rsidR="00C21643" w:rsidRPr="00C21643" w:rsidRDefault="00C21643" w:rsidP="00EA3368">
      <w:pPr>
        <w:pStyle w:val="ListParagraph"/>
        <w:widowControl w:val="0"/>
        <w:numPr>
          <w:ilvl w:val="0"/>
          <w:numId w:val="30"/>
        </w:numPr>
        <w:autoSpaceDE w:val="0"/>
        <w:autoSpaceDN w:val="0"/>
        <w:adjustRightInd w:val="0"/>
        <w:spacing w:before="120" w:after="120" w:line="276" w:lineRule="auto"/>
        <w:contextualSpacing w:val="0"/>
        <w:jc w:val="both"/>
        <w:rPr>
          <w:rFonts w:ascii="Palatino Linotype" w:hAnsi="Palatino Linotype" w:cs="Times New Roman"/>
          <w:noProof/>
          <w:sz w:val="20"/>
          <w:szCs w:val="20"/>
        </w:rPr>
      </w:pPr>
      <w:r w:rsidRPr="00C21643">
        <w:rPr>
          <w:rFonts w:ascii="Palatino Linotype" w:hAnsi="Palatino Linotype" w:cs="Times New Roman"/>
          <w:noProof/>
          <w:sz w:val="20"/>
          <w:szCs w:val="20"/>
        </w:rPr>
        <w:t>E. J. Simpson (1966), “The Classification of Educational Objectives, Psychomotor Domain".</w:t>
      </w:r>
    </w:p>
    <w:p w14:paraId="5330E45A" w14:textId="77777777" w:rsidR="00C21643" w:rsidRPr="00C21643" w:rsidRDefault="00C21643" w:rsidP="00EA3368">
      <w:pPr>
        <w:widowControl w:val="0"/>
        <w:autoSpaceDE w:val="0"/>
        <w:autoSpaceDN w:val="0"/>
        <w:adjustRightInd w:val="0"/>
        <w:spacing w:before="120" w:after="120" w:line="276" w:lineRule="auto"/>
        <w:ind w:left="480" w:hanging="480"/>
        <w:jc w:val="both"/>
        <w:rPr>
          <w:rFonts w:ascii="Palatino Linotype" w:hAnsi="Palatino Linotype" w:cs="Times New Roman"/>
          <w:b/>
          <w:sz w:val="20"/>
          <w:szCs w:val="20"/>
        </w:rPr>
      </w:pPr>
      <w:r w:rsidRPr="00C21643">
        <w:rPr>
          <w:rFonts w:ascii="Palatino Linotype" w:hAnsi="Palatino Linotype" w:cs="Times New Roman"/>
          <w:b/>
          <w:sz w:val="20"/>
          <w:szCs w:val="20"/>
        </w:rPr>
        <w:fldChar w:fldCharType="end"/>
      </w:r>
    </w:p>
    <w:p w14:paraId="738DBB93" w14:textId="77777777" w:rsidR="00EA3368" w:rsidRDefault="00C21643" w:rsidP="00C21643">
      <w:pPr>
        <w:spacing w:before="120" w:after="60" w:line="276" w:lineRule="auto"/>
        <w:jc w:val="center"/>
        <w:rPr>
          <w:rFonts w:ascii="Palatino Linotype" w:hAnsi="Palatino Linotype" w:cs="Times New Roman"/>
          <w:b/>
          <w:sz w:val="20"/>
          <w:szCs w:val="20"/>
        </w:rPr>
      </w:pPr>
      <w:r w:rsidRPr="00C21643">
        <w:rPr>
          <w:rFonts w:ascii="Palatino Linotype" w:hAnsi="Palatino Linotype" w:cs="Times New Roman"/>
          <w:b/>
          <w:sz w:val="20"/>
          <w:szCs w:val="20"/>
        </w:rPr>
        <w:t xml:space="preserve"> </w:t>
      </w:r>
    </w:p>
    <w:p w14:paraId="15B543A3" w14:textId="1F61DC75" w:rsidR="00C21643" w:rsidRDefault="00EA3368" w:rsidP="00C21643">
      <w:pPr>
        <w:spacing w:before="120" w:after="60" w:line="276" w:lineRule="auto"/>
        <w:jc w:val="center"/>
        <w:rPr>
          <w:rFonts w:ascii="Palatino Linotype" w:hAnsi="Palatino Linotype" w:cs="Times New Roman"/>
          <w:b/>
          <w:szCs w:val="28"/>
        </w:rPr>
      </w:pPr>
      <w:r>
        <w:rPr>
          <w:rFonts w:ascii="Palatino Linotype" w:hAnsi="Palatino Linotype" w:cs="Times New Roman"/>
          <w:b/>
          <w:sz w:val="20"/>
          <w:szCs w:val="20"/>
        </w:rPr>
        <w:br w:type="column"/>
      </w:r>
      <w:r w:rsidR="00C21643" w:rsidRPr="00C21643">
        <w:rPr>
          <w:rFonts w:ascii="Palatino Linotype" w:hAnsi="Palatino Linotype" w:cs="Times New Roman"/>
          <w:b/>
          <w:szCs w:val="28"/>
        </w:rPr>
        <w:lastRenderedPageBreak/>
        <w:t>DEVELOPING CRITERIA TO EVALUATE FORMATIVE ASSESSMENT SKILLS FOR STUDENTS IN BIOLOGY TEACHER EDUCATION</w:t>
      </w:r>
    </w:p>
    <w:p w14:paraId="15D1A4F6" w14:textId="3EC12454" w:rsidR="00C21643" w:rsidRPr="00C21643" w:rsidRDefault="00C21643" w:rsidP="00C21643">
      <w:pPr>
        <w:spacing w:after="0" w:line="276" w:lineRule="auto"/>
        <w:jc w:val="center"/>
        <w:rPr>
          <w:rFonts w:ascii="Palatino Linotype" w:hAnsi="Palatino Linotype" w:cs="Times New Roman"/>
          <w:sz w:val="20"/>
          <w:szCs w:val="20"/>
        </w:rPr>
      </w:pPr>
      <w:r w:rsidRPr="00C21643">
        <w:rPr>
          <w:rFonts w:ascii="Palatino Linotype" w:hAnsi="Palatino Linotype" w:cs="Times New Roman"/>
          <w:b/>
          <w:sz w:val="20"/>
          <w:szCs w:val="20"/>
        </w:rPr>
        <w:t>Nguy</w:t>
      </w:r>
      <w:r>
        <w:rPr>
          <w:rFonts w:ascii="Palatino Linotype" w:hAnsi="Palatino Linotype" w:cs="Times New Roman"/>
          <w:b/>
          <w:sz w:val="20"/>
          <w:szCs w:val="20"/>
        </w:rPr>
        <w:t>e</w:t>
      </w:r>
      <w:r w:rsidRPr="00C21643">
        <w:rPr>
          <w:rFonts w:ascii="Palatino Linotype" w:hAnsi="Palatino Linotype" w:cs="Times New Roman"/>
          <w:b/>
          <w:sz w:val="20"/>
          <w:szCs w:val="20"/>
        </w:rPr>
        <w:t>n Th</w:t>
      </w:r>
      <w:r>
        <w:rPr>
          <w:rFonts w:ascii="Palatino Linotype" w:hAnsi="Palatino Linotype" w:cs="Times New Roman"/>
          <w:b/>
          <w:sz w:val="20"/>
          <w:szCs w:val="20"/>
        </w:rPr>
        <w:t>i</w:t>
      </w:r>
      <w:r w:rsidRPr="00C21643">
        <w:rPr>
          <w:rFonts w:ascii="Palatino Linotype" w:hAnsi="Palatino Linotype" w:cs="Times New Roman"/>
          <w:b/>
          <w:sz w:val="20"/>
          <w:szCs w:val="20"/>
        </w:rPr>
        <w:t xml:space="preserve"> H</w:t>
      </w:r>
      <w:r>
        <w:rPr>
          <w:rFonts w:ascii="Palatino Linotype" w:hAnsi="Palatino Linotype" w:cs="Times New Roman"/>
          <w:b/>
          <w:sz w:val="20"/>
          <w:szCs w:val="20"/>
        </w:rPr>
        <w:t>a</w:t>
      </w:r>
      <w:r w:rsidRPr="00C21643">
        <w:rPr>
          <w:rFonts w:ascii="Palatino Linotype" w:hAnsi="Palatino Linotype" w:cs="Times New Roman"/>
          <w:b/>
          <w:sz w:val="20"/>
          <w:szCs w:val="20"/>
        </w:rPr>
        <w:t>i Y</w:t>
      </w:r>
      <w:r>
        <w:rPr>
          <w:rFonts w:ascii="Palatino Linotype" w:hAnsi="Palatino Linotype" w:cs="Times New Roman"/>
          <w:b/>
          <w:sz w:val="20"/>
          <w:szCs w:val="20"/>
        </w:rPr>
        <w:t>e</w:t>
      </w:r>
      <w:r w:rsidRPr="00C21643">
        <w:rPr>
          <w:rFonts w:ascii="Palatino Linotype" w:hAnsi="Palatino Linotype" w:cs="Times New Roman"/>
          <w:b/>
          <w:sz w:val="20"/>
          <w:szCs w:val="20"/>
        </w:rPr>
        <w:t>n</w:t>
      </w:r>
      <w:r w:rsidRPr="00C21643">
        <w:rPr>
          <w:rFonts w:ascii="Palatino Linotype" w:hAnsi="Palatino Linotype" w:cs="Times New Roman"/>
          <w:sz w:val="20"/>
          <w:szCs w:val="20"/>
        </w:rPr>
        <w:t xml:space="preserve">, </w:t>
      </w:r>
      <w:r w:rsidRPr="00C21643">
        <w:rPr>
          <w:rFonts w:ascii="Palatino Linotype" w:hAnsi="Palatino Linotype" w:cs="Times New Roman"/>
          <w:b/>
          <w:sz w:val="20"/>
          <w:szCs w:val="20"/>
        </w:rPr>
        <w:t>Ng</w:t>
      </w:r>
      <w:r>
        <w:rPr>
          <w:rFonts w:ascii="Palatino Linotype" w:hAnsi="Palatino Linotype" w:cs="Times New Roman"/>
          <w:b/>
          <w:sz w:val="20"/>
          <w:szCs w:val="20"/>
        </w:rPr>
        <w:t>o</w:t>
      </w:r>
      <w:r w:rsidRPr="00C21643">
        <w:rPr>
          <w:rFonts w:ascii="Palatino Linotype" w:hAnsi="Palatino Linotype" w:cs="Times New Roman"/>
          <w:b/>
          <w:sz w:val="20"/>
          <w:szCs w:val="20"/>
        </w:rPr>
        <w:t xml:space="preserve"> Th</w:t>
      </w:r>
      <w:r>
        <w:rPr>
          <w:rFonts w:ascii="Palatino Linotype" w:hAnsi="Palatino Linotype" w:cs="Times New Roman"/>
          <w:b/>
          <w:sz w:val="20"/>
          <w:szCs w:val="20"/>
        </w:rPr>
        <w:t>i</w:t>
      </w:r>
      <w:r w:rsidRPr="00C21643">
        <w:rPr>
          <w:rFonts w:ascii="Palatino Linotype" w:hAnsi="Palatino Linotype" w:cs="Times New Roman"/>
          <w:b/>
          <w:sz w:val="20"/>
          <w:szCs w:val="20"/>
        </w:rPr>
        <w:t xml:space="preserve"> Ho</w:t>
      </w:r>
      <w:r>
        <w:rPr>
          <w:rFonts w:ascii="Palatino Linotype" w:hAnsi="Palatino Linotype" w:cs="Times New Roman"/>
          <w:b/>
          <w:sz w:val="20"/>
          <w:szCs w:val="20"/>
        </w:rPr>
        <w:t>a</w:t>
      </w:r>
      <w:r w:rsidRPr="00C21643">
        <w:rPr>
          <w:rFonts w:ascii="Palatino Linotype" w:hAnsi="Palatino Linotype" w:cs="Times New Roman"/>
          <w:b/>
          <w:sz w:val="20"/>
          <w:szCs w:val="20"/>
        </w:rPr>
        <w:t>ng V</w:t>
      </w:r>
      <w:r>
        <w:rPr>
          <w:rFonts w:ascii="Palatino Linotype" w:hAnsi="Palatino Linotype" w:cs="Times New Roman"/>
          <w:b/>
          <w:sz w:val="20"/>
          <w:szCs w:val="20"/>
        </w:rPr>
        <w:t>a</w:t>
      </w:r>
      <w:r w:rsidRPr="00C21643">
        <w:rPr>
          <w:rFonts w:ascii="Palatino Linotype" w:hAnsi="Palatino Linotype" w:cs="Times New Roman"/>
          <w:b/>
          <w:sz w:val="20"/>
          <w:szCs w:val="20"/>
        </w:rPr>
        <w:t>n</w:t>
      </w:r>
    </w:p>
    <w:p w14:paraId="26B22418" w14:textId="296F03F5" w:rsidR="00C21643" w:rsidRPr="00C21643" w:rsidRDefault="00C21643" w:rsidP="00C21643">
      <w:pPr>
        <w:spacing w:after="0" w:line="276" w:lineRule="auto"/>
        <w:jc w:val="center"/>
        <w:rPr>
          <w:rFonts w:ascii="Palatino Linotype" w:hAnsi="Palatino Linotype" w:cs="Times New Roman"/>
          <w:sz w:val="20"/>
          <w:szCs w:val="20"/>
        </w:rPr>
      </w:pPr>
      <w:r>
        <w:rPr>
          <w:rFonts w:ascii="Palatino Linotype" w:hAnsi="Palatino Linotype" w:cs="Times New Roman"/>
          <w:sz w:val="20"/>
          <w:szCs w:val="20"/>
        </w:rPr>
        <w:t>College of Educations</w:t>
      </w:r>
      <w:r w:rsidRPr="00C21643">
        <w:rPr>
          <w:rFonts w:ascii="Palatino Linotype" w:hAnsi="Palatino Linotype" w:cs="Times New Roman"/>
          <w:sz w:val="20"/>
          <w:szCs w:val="20"/>
        </w:rPr>
        <w:t xml:space="preserve">, </w:t>
      </w:r>
      <w:r>
        <w:rPr>
          <w:rFonts w:ascii="Palatino Linotype" w:hAnsi="Palatino Linotype" w:cs="Times New Roman"/>
          <w:sz w:val="20"/>
          <w:szCs w:val="20"/>
        </w:rPr>
        <w:t>Da</w:t>
      </w:r>
      <w:r w:rsidRPr="00C21643">
        <w:rPr>
          <w:rFonts w:ascii="Palatino Linotype" w:hAnsi="Palatino Linotype" w:cs="Times New Roman"/>
          <w:sz w:val="20"/>
          <w:szCs w:val="20"/>
        </w:rPr>
        <w:t xml:space="preserve"> N</w:t>
      </w:r>
      <w:r>
        <w:rPr>
          <w:rFonts w:ascii="Palatino Linotype" w:hAnsi="Palatino Linotype" w:cs="Times New Roman"/>
          <w:sz w:val="20"/>
          <w:szCs w:val="20"/>
        </w:rPr>
        <w:t>a</w:t>
      </w:r>
      <w:r w:rsidRPr="00C21643">
        <w:rPr>
          <w:rFonts w:ascii="Palatino Linotype" w:hAnsi="Palatino Linotype" w:cs="Times New Roman"/>
          <w:sz w:val="20"/>
          <w:szCs w:val="20"/>
        </w:rPr>
        <w:t>ng</w:t>
      </w:r>
      <w:r>
        <w:rPr>
          <w:rFonts w:ascii="Palatino Linotype" w:hAnsi="Palatino Linotype" w:cs="Times New Roman"/>
          <w:sz w:val="20"/>
          <w:szCs w:val="20"/>
        </w:rPr>
        <w:t xml:space="preserve"> University</w:t>
      </w:r>
    </w:p>
    <w:p w14:paraId="1B1F8570" w14:textId="06099106" w:rsidR="00C21643" w:rsidRPr="00C21643" w:rsidRDefault="00C21643" w:rsidP="00C21643">
      <w:pPr>
        <w:spacing w:after="0" w:line="276" w:lineRule="auto"/>
        <w:jc w:val="center"/>
        <w:rPr>
          <w:rFonts w:ascii="Palatino Linotype" w:hAnsi="Palatino Linotype" w:cs="Times New Roman"/>
          <w:b/>
          <w:sz w:val="20"/>
          <w:szCs w:val="20"/>
        </w:rPr>
      </w:pPr>
      <w:r w:rsidRPr="00C21643">
        <w:rPr>
          <w:rFonts w:ascii="Palatino Linotype" w:hAnsi="Palatino Linotype" w:cs="Times New Roman"/>
          <w:b/>
          <w:sz w:val="20"/>
          <w:szCs w:val="20"/>
        </w:rPr>
        <w:t xml:space="preserve">Phan </w:t>
      </w:r>
      <w:r>
        <w:rPr>
          <w:rFonts w:ascii="Palatino Linotype" w:hAnsi="Palatino Linotype" w:cs="Times New Roman"/>
          <w:b/>
          <w:sz w:val="20"/>
          <w:szCs w:val="20"/>
        </w:rPr>
        <w:t>Du</w:t>
      </w:r>
      <w:r w:rsidRPr="00C21643">
        <w:rPr>
          <w:rFonts w:ascii="Palatino Linotype" w:hAnsi="Palatino Linotype" w:cs="Times New Roman"/>
          <w:b/>
          <w:sz w:val="20"/>
          <w:szCs w:val="20"/>
        </w:rPr>
        <w:t>c Duy*</w:t>
      </w:r>
    </w:p>
    <w:p w14:paraId="234ECF90" w14:textId="01306DDB" w:rsidR="00C21643" w:rsidRPr="00C21643" w:rsidRDefault="00C21643" w:rsidP="00C21643">
      <w:pPr>
        <w:spacing w:after="0" w:line="276" w:lineRule="auto"/>
        <w:jc w:val="center"/>
        <w:rPr>
          <w:rFonts w:ascii="Palatino Linotype" w:hAnsi="Palatino Linotype" w:cs="Times New Roman"/>
          <w:sz w:val="20"/>
          <w:szCs w:val="20"/>
        </w:rPr>
      </w:pPr>
      <w:r>
        <w:rPr>
          <w:rFonts w:ascii="Palatino Linotype" w:hAnsi="Palatino Linotype" w:cs="Times New Roman"/>
          <w:sz w:val="20"/>
          <w:szCs w:val="20"/>
        </w:rPr>
        <w:t>College of Educations</w:t>
      </w:r>
      <w:r w:rsidRPr="00C21643">
        <w:rPr>
          <w:rFonts w:ascii="Palatino Linotype" w:hAnsi="Palatino Linotype" w:cs="Times New Roman"/>
          <w:sz w:val="20"/>
          <w:szCs w:val="20"/>
        </w:rPr>
        <w:t xml:space="preserve">, </w:t>
      </w:r>
      <w:r>
        <w:rPr>
          <w:rFonts w:ascii="Palatino Linotype" w:hAnsi="Palatino Linotype" w:cs="Times New Roman"/>
          <w:sz w:val="20"/>
          <w:szCs w:val="20"/>
        </w:rPr>
        <w:t>Hue</w:t>
      </w:r>
      <w:r>
        <w:rPr>
          <w:rFonts w:ascii="Palatino Linotype" w:hAnsi="Palatino Linotype" w:cs="Times New Roman"/>
          <w:sz w:val="20"/>
          <w:szCs w:val="20"/>
        </w:rPr>
        <w:t xml:space="preserve"> University</w:t>
      </w:r>
      <w:r>
        <w:rPr>
          <w:rFonts w:ascii="Palatino Linotype" w:hAnsi="Palatino Linotype" w:cs="Times New Roman"/>
          <w:sz w:val="20"/>
          <w:szCs w:val="20"/>
        </w:rPr>
        <w:t xml:space="preserve">, </w:t>
      </w:r>
      <w:r w:rsidRPr="00C21643">
        <w:rPr>
          <w:rFonts w:ascii="Palatino Linotype" w:hAnsi="Palatino Linotype" w:cs="Times New Roman"/>
          <w:sz w:val="20"/>
          <w:szCs w:val="20"/>
        </w:rPr>
        <w:t>32 L</w:t>
      </w:r>
      <w:r>
        <w:rPr>
          <w:rFonts w:ascii="Palatino Linotype" w:hAnsi="Palatino Linotype" w:cs="Times New Roman"/>
          <w:sz w:val="20"/>
          <w:szCs w:val="20"/>
        </w:rPr>
        <w:t>e</w:t>
      </w:r>
      <w:r w:rsidRPr="00C21643">
        <w:rPr>
          <w:rFonts w:ascii="Palatino Linotype" w:hAnsi="Palatino Linotype" w:cs="Times New Roman"/>
          <w:sz w:val="20"/>
          <w:szCs w:val="20"/>
        </w:rPr>
        <w:t xml:space="preserve"> L</w:t>
      </w:r>
      <w:r>
        <w:rPr>
          <w:rFonts w:ascii="Palatino Linotype" w:hAnsi="Palatino Linotype" w:cs="Times New Roman"/>
          <w:sz w:val="20"/>
          <w:szCs w:val="20"/>
        </w:rPr>
        <w:t>oi Str.</w:t>
      </w:r>
      <w:r w:rsidRPr="00C21643">
        <w:rPr>
          <w:rFonts w:ascii="Palatino Linotype" w:hAnsi="Palatino Linotype" w:cs="Times New Roman"/>
          <w:sz w:val="20"/>
          <w:szCs w:val="20"/>
        </w:rPr>
        <w:t>, Hu</w:t>
      </w:r>
      <w:r>
        <w:rPr>
          <w:rFonts w:ascii="Palatino Linotype" w:hAnsi="Palatino Linotype" w:cs="Times New Roman"/>
          <w:sz w:val="20"/>
          <w:szCs w:val="20"/>
        </w:rPr>
        <w:t>e city,</w:t>
      </w:r>
      <w:r w:rsidRPr="00C21643">
        <w:rPr>
          <w:rFonts w:ascii="Palatino Linotype" w:hAnsi="Palatino Linotype" w:cs="Times New Roman"/>
          <w:sz w:val="20"/>
          <w:szCs w:val="20"/>
        </w:rPr>
        <w:t xml:space="preserve"> Vi</w:t>
      </w:r>
      <w:r>
        <w:rPr>
          <w:rFonts w:ascii="Palatino Linotype" w:hAnsi="Palatino Linotype" w:cs="Times New Roman"/>
          <w:sz w:val="20"/>
          <w:szCs w:val="20"/>
        </w:rPr>
        <w:t>etn</w:t>
      </w:r>
      <w:r w:rsidRPr="00C21643">
        <w:rPr>
          <w:rFonts w:ascii="Palatino Linotype" w:hAnsi="Palatino Linotype" w:cs="Times New Roman"/>
          <w:sz w:val="20"/>
          <w:szCs w:val="20"/>
        </w:rPr>
        <w:t>am</w:t>
      </w:r>
    </w:p>
    <w:p w14:paraId="217D91CB" w14:textId="77777777" w:rsidR="00C21643" w:rsidRPr="00C21643" w:rsidRDefault="00C21643" w:rsidP="00C21643">
      <w:pPr>
        <w:spacing w:after="0" w:line="276" w:lineRule="auto"/>
        <w:jc w:val="both"/>
        <w:rPr>
          <w:rFonts w:ascii="Palatino Linotype" w:eastAsia="Times New Roman" w:hAnsi="Palatino Linotype" w:cs="Times New Roman"/>
          <w:b/>
          <w:bCs/>
          <w:color w:val="000000"/>
          <w:sz w:val="18"/>
          <w:szCs w:val="18"/>
        </w:rPr>
      </w:pPr>
    </w:p>
    <w:p w14:paraId="694EE159" w14:textId="77777777" w:rsidR="00C21643" w:rsidRDefault="00C21643" w:rsidP="00C21643">
      <w:pPr>
        <w:spacing w:before="120" w:after="60" w:line="276" w:lineRule="auto"/>
        <w:jc w:val="both"/>
        <w:rPr>
          <w:rFonts w:ascii="Palatino Linotype" w:hAnsi="Palatino Linotype"/>
          <w:b/>
          <w:sz w:val="18"/>
          <w:szCs w:val="18"/>
        </w:rPr>
      </w:pPr>
    </w:p>
    <w:p w14:paraId="58D5A8D0" w14:textId="743785FC" w:rsidR="00C21643" w:rsidRPr="00C21643" w:rsidRDefault="00C21643" w:rsidP="00C21643">
      <w:pPr>
        <w:spacing w:before="120" w:after="60" w:line="276" w:lineRule="auto"/>
        <w:jc w:val="both"/>
        <w:rPr>
          <w:rFonts w:ascii="Palatino Linotype" w:hAnsi="Palatino Linotype" w:cs="Times New Roman"/>
          <w:sz w:val="18"/>
          <w:szCs w:val="18"/>
        </w:rPr>
      </w:pPr>
      <w:r w:rsidRPr="00C21643">
        <w:rPr>
          <w:rFonts w:ascii="Palatino Linotype" w:hAnsi="Palatino Linotype" w:cs="Times New Roman"/>
          <w:b/>
          <w:sz w:val="18"/>
          <w:szCs w:val="18"/>
        </w:rPr>
        <w:t xml:space="preserve">Abstracts: </w:t>
      </w:r>
      <w:r w:rsidRPr="00C21643">
        <w:rPr>
          <w:rFonts w:ascii="Palatino Linotype" w:hAnsi="Palatino Linotype" w:cs="Times New Roman"/>
          <w:sz w:val="18"/>
          <w:szCs w:val="18"/>
        </w:rPr>
        <w:t>Developing formative assessment skills for pre-service teachers is an essestial task in the innovation trend toward competency-based education. This paper presents the methods and the results of buiding criteria to evaluate the formative assessment skills for students in Biology Teacher Education. These criteria were established based on the analysis the component structure of formative skills and described in detail about performance indicators according to 03 level of scale: Preliminary, Skilled and Proficient. This set of criteria is expected to be a useful evaluation tool to identify student’s position on the way of development, facilitating the development of formative skills of students at pedagogical schools.</w:t>
      </w:r>
    </w:p>
    <w:p w14:paraId="17BA0C35" w14:textId="3F4DB75F" w:rsidR="00C21643" w:rsidRPr="00C21643" w:rsidRDefault="00C21643" w:rsidP="00C21643">
      <w:pPr>
        <w:spacing w:before="120" w:after="60" w:line="276" w:lineRule="auto"/>
        <w:jc w:val="both"/>
        <w:rPr>
          <w:rFonts w:ascii="Palatino Linotype" w:hAnsi="Palatino Linotype" w:cs="Times New Roman"/>
          <w:sz w:val="18"/>
          <w:szCs w:val="18"/>
        </w:rPr>
      </w:pPr>
      <w:r w:rsidRPr="00C21643">
        <w:rPr>
          <w:rFonts w:ascii="Palatino Linotype" w:hAnsi="Palatino Linotype" w:cs="Times New Roman"/>
          <w:b/>
          <w:sz w:val="18"/>
          <w:szCs w:val="18"/>
        </w:rPr>
        <w:t>Key</w:t>
      </w:r>
      <w:r w:rsidRPr="00C21643">
        <w:rPr>
          <w:rFonts w:ascii="Palatino Linotype" w:hAnsi="Palatino Linotype" w:cs="Times New Roman"/>
          <w:b/>
          <w:sz w:val="18"/>
          <w:szCs w:val="18"/>
        </w:rPr>
        <w:t xml:space="preserve">words:  </w:t>
      </w:r>
      <w:r w:rsidRPr="00C21643">
        <w:rPr>
          <w:rFonts w:ascii="Palatino Linotype" w:hAnsi="Palatino Linotype" w:cs="Times New Roman"/>
          <w:sz w:val="18"/>
          <w:szCs w:val="18"/>
        </w:rPr>
        <w:t>Formative assessment, formative assessment skills, assessment criteria, Biology pre-service students.</w:t>
      </w:r>
    </w:p>
    <w:p w14:paraId="5772FC28" w14:textId="77777777" w:rsidR="00C21643" w:rsidRPr="00C21643" w:rsidRDefault="00C21643" w:rsidP="00C21643">
      <w:pPr>
        <w:spacing w:before="120" w:after="60" w:line="276" w:lineRule="auto"/>
        <w:jc w:val="center"/>
        <w:rPr>
          <w:rFonts w:ascii="Palatino Linotype" w:hAnsi="Palatino Linotype" w:cs="Times New Roman"/>
          <w:b/>
          <w:color w:val="FF0000"/>
          <w:sz w:val="18"/>
          <w:szCs w:val="18"/>
        </w:rPr>
      </w:pPr>
    </w:p>
    <w:p w14:paraId="182B36A5" w14:textId="77777777" w:rsidR="00860A21" w:rsidRPr="00C21643" w:rsidRDefault="00860A21" w:rsidP="00C21643">
      <w:pPr>
        <w:pStyle w:val="Heading2"/>
        <w:spacing w:before="120" w:line="276" w:lineRule="auto"/>
        <w:jc w:val="both"/>
        <w:rPr>
          <w:rFonts w:ascii="Palatino Linotype" w:hAnsi="Palatino Linotype" w:cs="Times New Roman"/>
          <w:sz w:val="18"/>
          <w:szCs w:val="18"/>
        </w:rPr>
      </w:pPr>
    </w:p>
    <w:sectPr w:rsidR="00860A21" w:rsidRPr="00C21643" w:rsidSect="0005211F">
      <w:headerReference w:type="even" r:id="rId9"/>
      <w:headerReference w:type="default" r:id="rId10"/>
      <w:footerReference w:type="even" r:id="rId11"/>
      <w:footerReference w:type="default" r:id="rId12"/>
      <w:headerReference w:type="first" r:id="rId13"/>
      <w:footerReference w:type="first" r:id="rId14"/>
      <w:pgSz w:w="10773" w:h="15309" w:code="9"/>
      <w:pgMar w:top="1134" w:right="1134" w:bottom="1134" w:left="1134" w:header="720" w:footer="720" w:gutter="0"/>
      <w:pgNumType w:start="119"/>
      <w:cols w:space="708"/>
      <w:titlePg/>
      <w:docGrid w:linePitch="381"/>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5CB973" w15:done="0"/>
  <w15:commentEx w15:paraId="6D4348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961ED" w14:textId="77777777" w:rsidR="005A6615" w:rsidRDefault="005A6615" w:rsidP="00B93EFD">
      <w:pPr>
        <w:spacing w:after="0" w:line="240" w:lineRule="auto"/>
      </w:pPr>
      <w:r>
        <w:separator/>
      </w:r>
    </w:p>
  </w:endnote>
  <w:endnote w:type="continuationSeparator" w:id="0">
    <w:p w14:paraId="6F686E12" w14:textId="77777777" w:rsidR="005A6615" w:rsidRDefault="005A6615" w:rsidP="00B9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ACE9" w14:textId="77777777" w:rsidR="00A00742" w:rsidRPr="00682D01" w:rsidRDefault="00FD4DA2" w:rsidP="00A00742">
    <w:pPr>
      <w:pStyle w:val="Footer"/>
      <w:rPr>
        <w:rFonts w:ascii="Palatino Linotype" w:hAnsi="Palatino Linotype"/>
        <w:sz w:val="20"/>
        <w:szCs w:val="20"/>
      </w:rPr>
    </w:pPr>
    <w:r w:rsidRPr="00682D01">
      <w:rPr>
        <w:rFonts w:ascii="Palatino Linotype" w:hAnsi="Palatino Linotype"/>
        <w:sz w:val="20"/>
        <w:szCs w:val="20"/>
      </w:rPr>
      <w:fldChar w:fldCharType="begin"/>
    </w:r>
    <w:r w:rsidRPr="00682D01">
      <w:rPr>
        <w:rFonts w:ascii="Palatino Linotype" w:hAnsi="Palatino Linotype"/>
        <w:sz w:val="20"/>
        <w:szCs w:val="20"/>
      </w:rPr>
      <w:instrText xml:space="preserve"> PAGE   \* MERGEFORMAT </w:instrText>
    </w:r>
    <w:r w:rsidRPr="00682D01">
      <w:rPr>
        <w:rFonts w:ascii="Palatino Linotype" w:hAnsi="Palatino Linotype"/>
        <w:sz w:val="20"/>
        <w:szCs w:val="20"/>
      </w:rPr>
      <w:fldChar w:fldCharType="separate"/>
    </w:r>
    <w:r w:rsidR="00557845">
      <w:rPr>
        <w:rFonts w:ascii="Palatino Linotype" w:hAnsi="Palatino Linotype"/>
        <w:noProof/>
        <w:sz w:val="20"/>
        <w:szCs w:val="20"/>
      </w:rPr>
      <w:t>128</w:t>
    </w:r>
    <w:r w:rsidRPr="00682D01">
      <w:rPr>
        <w:rFonts w:ascii="Palatino Linotype" w:hAnsi="Palatino Linotype"/>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0EF33" w14:textId="03C79189" w:rsidR="00A00742" w:rsidRPr="00CB63AE" w:rsidRDefault="00FD4DA2">
    <w:pPr>
      <w:pStyle w:val="Footer"/>
      <w:jc w:val="right"/>
      <w:rPr>
        <w:rFonts w:ascii="Palatino Linotype" w:hAnsi="Palatino Linotype"/>
        <w:sz w:val="20"/>
        <w:szCs w:val="20"/>
      </w:rPr>
    </w:pPr>
    <w:r w:rsidRPr="00CB63AE">
      <w:rPr>
        <w:rFonts w:ascii="Palatino Linotype" w:hAnsi="Palatino Linotype"/>
        <w:sz w:val="20"/>
        <w:szCs w:val="20"/>
      </w:rPr>
      <w:fldChar w:fldCharType="begin"/>
    </w:r>
    <w:r w:rsidRPr="00CB63AE">
      <w:rPr>
        <w:rFonts w:ascii="Palatino Linotype" w:hAnsi="Palatino Linotype"/>
        <w:sz w:val="20"/>
        <w:szCs w:val="20"/>
      </w:rPr>
      <w:instrText xml:space="preserve"> PAGE   \* MERGEFORMAT </w:instrText>
    </w:r>
    <w:r w:rsidRPr="00CB63AE">
      <w:rPr>
        <w:rFonts w:ascii="Palatino Linotype" w:hAnsi="Palatino Linotype"/>
        <w:sz w:val="20"/>
        <w:szCs w:val="20"/>
      </w:rPr>
      <w:fldChar w:fldCharType="separate"/>
    </w:r>
    <w:r w:rsidR="00557845">
      <w:rPr>
        <w:rFonts w:ascii="Palatino Linotype" w:hAnsi="Palatino Linotype"/>
        <w:noProof/>
        <w:sz w:val="20"/>
        <w:szCs w:val="20"/>
      </w:rPr>
      <w:t>129</w:t>
    </w:r>
    <w:r w:rsidRPr="00CB63AE">
      <w:rPr>
        <w:rFonts w:ascii="Palatino Linotype" w:hAnsi="Palatino Linotype"/>
        <w:noProof/>
        <w:sz w:val="20"/>
        <w:szCs w:val="20"/>
      </w:rPr>
      <w:fldChar w:fldCharType="end"/>
    </w:r>
  </w:p>
  <w:p w14:paraId="05854289" w14:textId="77777777" w:rsidR="00A00742" w:rsidRDefault="005A66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tblBorders>
      <w:tblCellMar>
        <w:left w:w="0" w:type="dxa"/>
        <w:right w:w="0" w:type="dxa"/>
      </w:tblCellMar>
      <w:tblLook w:val="04A0" w:firstRow="1" w:lastRow="0" w:firstColumn="1" w:lastColumn="0" w:noHBand="0" w:noVBand="1"/>
    </w:tblPr>
    <w:tblGrid>
      <w:gridCol w:w="8505"/>
    </w:tblGrid>
    <w:tr w:rsidR="00A00742" w:rsidRPr="00F02AC3" w14:paraId="0FB14B1F" w14:textId="77777777">
      <w:trPr>
        <w:jc w:val="center"/>
      </w:trPr>
      <w:tc>
        <w:tcPr>
          <w:tcW w:w="8721" w:type="dxa"/>
          <w:shd w:val="clear" w:color="auto" w:fill="auto"/>
        </w:tcPr>
        <w:p w14:paraId="2F9D4C30" w14:textId="11A523A3" w:rsidR="002E590E" w:rsidRDefault="00FD4DA2" w:rsidP="004D3973">
          <w:pPr>
            <w:pStyle w:val="Footer"/>
            <w:spacing w:line="276" w:lineRule="auto"/>
            <w:rPr>
              <w:rFonts w:ascii="Palatino Linotype" w:hAnsi="Palatino Linotype" w:cs="Calibri"/>
              <w:sz w:val="20"/>
              <w:szCs w:val="20"/>
              <w:shd w:val="clear" w:color="auto" w:fill="FFFFFF"/>
            </w:rPr>
          </w:pPr>
          <w:r w:rsidRPr="007D0FE7">
            <w:rPr>
              <w:rFonts w:ascii="Cambria" w:hAnsi="Cambria" w:cs="Calibri"/>
              <w:i/>
              <w:color w:val="000000"/>
              <w:sz w:val="20"/>
              <w:szCs w:val="20"/>
            </w:rPr>
            <w:t>*</w:t>
          </w:r>
          <w:r w:rsidRPr="00870BE6">
            <w:rPr>
              <w:rFonts w:ascii="Cambria" w:hAnsi="Cambria" w:cs="Calibri"/>
              <w:i/>
              <w:color w:val="000000"/>
              <w:sz w:val="20"/>
              <w:szCs w:val="20"/>
            </w:rPr>
            <w:t xml:space="preserve">Liên hệ: </w:t>
          </w:r>
          <w:r w:rsidR="00557845" w:rsidRPr="00557845">
            <w:rPr>
              <w:rFonts w:ascii="Palatino Linotype" w:hAnsi="Palatino Linotype" w:cs="Calibri"/>
              <w:sz w:val="20"/>
              <w:szCs w:val="20"/>
              <w:shd w:val="clear" w:color="auto" w:fill="FFFFFF"/>
            </w:rPr>
            <w:t>duy1264@gmail.com</w:t>
          </w:r>
        </w:p>
        <w:p w14:paraId="5CA70D2C" w14:textId="27FEF4AE" w:rsidR="00A00742" w:rsidRPr="00870BE6" w:rsidRDefault="00FD4DA2" w:rsidP="002E590E">
          <w:pPr>
            <w:pStyle w:val="Footer"/>
            <w:spacing w:line="276" w:lineRule="auto"/>
            <w:rPr>
              <w:rFonts w:ascii="Palatino Linotype" w:hAnsi="Palatino Linotype"/>
              <w:sz w:val="20"/>
              <w:szCs w:val="20"/>
            </w:rPr>
          </w:pPr>
          <w:r w:rsidRPr="00870BE6">
            <w:rPr>
              <w:rFonts w:ascii="Palatino Linotype" w:hAnsi="Palatino Linotype" w:cs="Calibri"/>
              <w:sz w:val="20"/>
              <w:szCs w:val="20"/>
              <w:shd w:val="clear" w:color="auto" w:fill="FFFFFF"/>
            </w:rPr>
            <w:t>Nh</w:t>
          </w:r>
          <w:r w:rsidRPr="00870BE6">
            <w:rPr>
              <w:rFonts w:ascii="Palatino Linotype" w:hAnsi="Palatino Linotype"/>
              <w:sz w:val="20"/>
              <w:szCs w:val="20"/>
              <w:shd w:val="clear" w:color="auto" w:fill="FFFFFF"/>
            </w:rPr>
            <w:t>ậ</w:t>
          </w:r>
          <w:r w:rsidRPr="00870BE6">
            <w:rPr>
              <w:rFonts w:ascii="Palatino Linotype" w:hAnsi="Palatino Linotype" w:cs="Cambria"/>
              <w:sz w:val="20"/>
              <w:szCs w:val="20"/>
              <w:shd w:val="clear" w:color="auto" w:fill="FFFFFF"/>
            </w:rPr>
            <w:t>n bài</w:t>
          </w:r>
          <w:r w:rsidRPr="00870BE6">
            <w:rPr>
              <w:rFonts w:ascii="Palatino Linotype" w:hAnsi="Palatino Linotype" w:cs="Calibri"/>
              <w:sz w:val="20"/>
              <w:szCs w:val="20"/>
            </w:rPr>
            <w:t>:</w:t>
          </w:r>
          <w:r w:rsidR="00E55ED1">
            <w:rPr>
              <w:rFonts w:ascii="Palatino Linotype" w:hAnsi="Palatino Linotype" w:cs="Calibri"/>
              <w:sz w:val="20"/>
              <w:szCs w:val="20"/>
            </w:rPr>
            <w:t xml:space="preserve"> </w:t>
          </w:r>
          <w:r w:rsidR="002E590E">
            <w:rPr>
              <w:rFonts w:ascii="Palatino Linotype" w:hAnsi="Palatino Linotype" w:cs="Calibri"/>
              <w:sz w:val="20"/>
              <w:szCs w:val="20"/>
            </w:rPr>
            <w:t>17</w:t>
          </w:r>
          <w:r w:rsidR="00870BE6" w:rsidRPr="00870BE6">
            <w:rPr>
              <w:rFonts w:ascii="Palatino Linotype" w:hAnsi="Palatino Linotype" w:cs="Calibri"/>
              <w:sz w:val="20"/>
              <w:szCs w:val="20"/>
              <w:shd w:val="clear" w:color="auto" w:fill="FFFFFF"/>
            </w:rPr>
            <w:t>-0</w:t>
          </w:r>
          <w:r w:rsidR="002E590E">
            <w:rPr>
              <w:rFonts w:ascii="Palatino Linotype" w:hAnsi="Palatino Linotype" w:cs="Calibri"/>
              <w:sz w:val="20"/>
              <w:szCs w:val="20"/>
              <w:shd w:val="clear" w:color="auto" w:fill="FFFFFF"/>
            </w:rPr>
            <w:t>4</w:t>
          </w:r>
          <w:r w:rsidRPr="00870BE6">
            <w:rPr>
              <w:rFonts w:ascii="Palatino Linotype" w:hAnsi="Palatino Linotype" w:cs="Calibri"/>
              <w:sz w:val="20"/>
              <w:szCs w:val="20"/>
              <w:shd w:val="clear" w:color="auto" w:fill="FFFFFF"/>
            </w:rPr>
            <w:t>-20</w:t>
          </w:r>
          <w:r w:rsidR="00E55ED1">
            <w:rPr>
              <w:rFonts w:ascii="Palatino Linotype" w:hAnsi="Palatino Linotype" w:cs="Calibri"/>
              <w:sz w:val="20"/>
              <w:szCs w:val="20"/>
              <w:shd w:val="clear" w:color="auto" w:fill="FFFFFF"/>
            </w:rPr>
            <w:t>20</w:t>
          </w:r>
          <w:r w:rsidRPr="00870BE6">
            <w:rPr>
              <w:rFonts w:ascii="Palatino Linotype" w:hAnsi="Palatino Linotype" w:cs="Calibri"/>
              <w:sz w:val="20"/>
              <w:szCs w:val="20"/>
            </w:rPr>
            <w:t xml:space="preserve">; </w:t>
          </w:r>
          <w:r w:rsidRPr="00870BE6">
            <w:rPr>
              <w:rFonts w:ascii="Palatino Linotype" w:hAnsi="Palatino Linotype" w:cs="Calibri"/>
              <w:sz w:val="20"/>
              <w:szCs w:val="20"/>
              <w:shd w:val="clear" w:color="auto" w:fill="FFFFFF"/>
            </w:rPr>
            <w:t>Hoàn thành ph</w:t>
          </w:r>
          <w:r w:rsidRPr="00870BE6">
            <w:rPr>
              <w:rFonts w:ascii="Palatino Linotype" w:hAnsi="Palatino Linotype"/>
              <w:sz w:val="20"/>
              <w:szCs w:val="20"/>
              <w:shd w:val="clear" w:color="auto" w:fill="FFFFFF"/>
            </w:rPr>
            <w:t>ả</w:t>
          </w:r>
          <w:r w:rsidRPr="00870BE6">
            <w:rPr>
              <w:rFonts w:ascii="Palatino Linotype" w:hAnsi="Palatino Linotype" w:cs="Cambria"/>
              <w:sz w:val="20"/>
              <w:szCs w:val="20"/>
              <w:shd w:val="clear" w:color="auto" w:fill="FFFFFF"/>
            </w:rPr>
            <w:t>n bi</w:t>
          </w:r>
          <w:r w:rsidRPr="00870BE6">
            <w:rPr>
              <w:rFonts w:ascii="Palatino Linotype" w:hAnsi="Palatino Linotype"/>
              <w:sz w:val="20"/>
              <w:szCs w:val="20"/>
              <w:shd w:val="clear" w:color="auto" w:fill="FFFFFF"/>
            </w:rPr>
            <w:t>ệ</w:t>
          </w:r>
          <w:r w:rsidRPr="00870BE6">
            <w:rPr>
              <w:rFonts w:ascii="Palatino Linotype" w:hAnsi="Palatino Linotype" w:cs="Cambria"/>
              <w:sz w:val="20"/>
              <w:szCs w:val="20"/>
              <w:shd w:val="clear" w:color="auto" w:fill="FFFFFF"/>
            </w:rPr>
            <w:t>n</w:t>
          </w:r>
          <w:r w:rsidRPr="00870BE6">
            <w:rPr>
              <w:rFonts w:ascii="Palatino Linotype" w:hAnsi="Palatino Linotype" w:cs="Calibri"/>
              <w:sz w:val="20"/>
              <w:szCs w:val="20"/>
            </w:rPr>
            <w:t xml:space="preserve">: </w:t>
          </w:r>
          <w:r w:rsidR="00AB2ADF">
            <w:rPr>
              <w:rFonts w:ascii="Palatino Linotype" w:hAnsi="Palatino Linotype" w:cs="Calibri"/>
              <w:sz w:val="20"/>
              <w:szCs w:val="20"/>
            </w:rPr>
            <w:t xml:space="preserve"> </w:t>
          </w:r>
          <w:r w:rsidR="002E590E">
            <w:rPr>
              <w:rFonts w:ascii="Palatino Linotype" w:hAnsi="Palatino Linotype" w:cs="Calibri"/>
              <w:sz w:val="20"/>
              <w:szCs w:val="20"/>
            </w:rPr>
            <w:t>03</w:t>
          </w:r>
          <w:r w:rsidRPr="00870BE6">
            <w:rPr>
              <w:rFonts w:ascii="Palatino Linotype" w:hAnsi="Palatino Linotype" w:cs="Calibri"/>
              <w:sz w:val="20"/>
              <w:szCs w:val="20"/>
            </w:rPr>
            <w:t>-0</w:t>
          </w:r>
          <w:r w:rsidR="002E590E">
            <w:rPr>
              <w:rFonts w:ascii="Palatino Linotype" w:hAnsi="Palatino Linotype" w:cs="Calibri"/>
              <w:sz w:val="20"/>
              <w:szCs w:val="20"/>
            </w:rPr>
            <w:t>7</w:t>
          </w:r>
          <w:r w:rsidRPr="00870BE6">
            <w:rPr>
              <w:rFonts w:ascii="Palatino Linotype" w:hAnsi="Palatino Linotype" w:cs="Calibri"/>
              <w:sz w:val="20"/>
              <w:szCs w:val="20"/>
            </w:rPr>
            <w:t>-20</w:t>
          </w:r>
          <w:r w:rsidR="00E73753">
            <w:rPr>
              <w:rFonts w:ascii="Palatino Linotype" w:hAnsi="Palatino Linotype" w:cs="Calibri"/>
              <w:sz w:val="20"/>
              <w:szCs w:val="20"/>
            </w:rPr>
            <w:t>20</w:t>
          </w:r>
          <w:r w:rsidRPr="00870BE6">
            <w:rPr>
              <w:rFonts w:ascii="Palatino Linotype" w:hAnsi="Palatino Linotype" w:cs="Calibri"/>
              <w:sz w:val="20"/>
              <w:szCs w:val="20"/>
              <w:shd w:val="clear" w:color="auto" w:fill="FFFFFF"/>
            </w:rPr>
            <w:t>; Ngày nh</w:t>
          </w:r>
          <w:r w:rsidRPr="00870BE6">
            <w:rPr>
              <w:rFonts w:ascii="Palatino Linotype" w:hAnsi="Palatino Linotype"/>
              <w:sz w:val="20"/>
              <w:szCs w:val="20"/>
              <w:shd w:val="clear" w:color="auto" w:fill="FFFFFF"/>
            </w:rPr>
            <w:t>ậ</w:t>
          </w:r>
          <w:r w:rsidRPr="00870BE6">
            <w:rPr>
              <w:rFonts w:ascii="Palatino Linotype" w:hAnsi="Palatino Linotype" w:cs="Cambria"/>
              <w:sz w:val="20"/>
              <w:szCs w:val="20"/>
              <w:shd w:val="clear" w:color="auto" w:fill="FFFFFF"/>
            </w:rPr>
            <w:t xml:space="preserve">n đăng: </w:t>
          </w:r>
          <w:r w:rsidR="002E590E">
            <w:rPr>
              <w:rFonts w:ascii="Palatino Linotype" w:hAnsi="Palatino Linotype" w:cs="Cambria"/>
              <w:sz w:val="20"/>
              <w:szCs w:val="20"/>
              <w:shd w:val="clear" w:color="auto" w:fill="FFFFFF"/>
            </w:rPr>
            <w:t>28</w:t>
          </w:r>
          <w:r w:rsidRPr="00870BE6">
            <w:rPr>
              <w:rFonts w:ascii="Palatino Linotype" w:hAnsi="Palatino Linotype" w:cs="Cambria"/>
              <w:sz w:val="20"/>
              <w:szCs w:val="20"/>
              <w:shd w:val="clear" w:color="auto" w:fill="FFFFFF"/>
            </w:rPr>
            <w:t>-</w:t>
          </w:r>
          <w:r w:rsidRPr="00870BE6">
            <w:rPr>
              <w:rFonts w:ascii="Palatino Linotype" w:hAnsi="Palatino Linotype" w:cs="Calibri"/>
              <w:sz w:val="20"/>
              <w:szCs w:val="20"/>
              <w:shd w:val="clear" w:color="auto" w:fill="FFFFFF"/>
            </w:rPr>
            <w:t>0</w:t>
          </w:r>
          <w:r w:rsidR="004D3973">
            <w:rPr>
              <w:rFonts w:ascii="Palatino Linotype" w:hAnsi="Palatino Linotype" w:cs="Calibri"/>
              <w:sz w:val="20"/>
              <w:szCs w:val="20"/>
              <w:shd w:val="clear" w:color="auto" w:fill="FFFFFF"/>
            </w:rPr>
            <w:t>8</w:t>
          </w:r>
          <w:r w:rsidRPr="00870BE6">
            <w:rPr>
              <w:rFonts w:ascii="Palatino Linotype" w:hAnsi="Palatino Linotype" w:cs="Calibri"/>
              <w:sz w:val="20"/>
              <w:szCs w:val="20"/>
              <w:shd w:val="clear" w:color="auto" w:fill="FFFFFF"/>
            </w:rPr>
            <w:t>-20</w:t>
          </w:r>
          <w:r w:rsidR="00870BE6" w:rsidRPr="00870BE6">
            <w:rPr>
              <w:rFonts w:ascii="Palatino Linotype" w:hAnsi="Palatino Linotype" w:cs="Calibri"/>
              <w:sz w:val="20"/>
              <w:szCs w:val="20"/>
              <w:shd w:val="clear" w:color="auto" w:fill="FFFFFF"/>
            </w:rPr>
            <w:t>20</w:t>
          </w:r>
        </w:p>
      </w:tc>
    </w:tr>
  </w:tbl>
  <w:p w14:paraId="1F9B9A96" w14:textId="77777777" w:rsidR="00A00742" w:rsidRPr="00F02AC3" w:rsidRDefault="005A6615" w:rsidP="00A00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C995E" w14:textId="77777777" w:rsidR="005A6615" w:rsidRDefault="005A6615" w:rsidP="00B93EFD">
      <w:pPr>
        <w:spacing w:after="0" w:line="240" w:lineRule="auto"/>
      </w:pPr>
      <w:r>
        <w:separator/>
      </w:r>
    </w:p>
  </w:footnote>
  <w:footnote w:type="continuationSeparator" w:id="0">
    <w:p w14:paraId="658367E9" w14:textId="77777777" w:rsidR="005A6615" w:rsidRDefault="005A6615" w:rsidP="00B93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6521"/>
      <w:gridCol w:w="1984"/>
    </w:tblGrid>
    <w:tr w:rsidR="00A00742" w:rsidRPr="00B0239B" w14:paraId="1BC0F8DE" w14:textId="77777777" w:rsidTr="00EA3368">
      <w:trPr>
        <w:trHeight w:val="1021"/>
        <w:jc w:val="center"/>
      </w:trPr>
      <w:tc>
        <w:tcPr>
          <w:tcW w:w="6521" w:type="dxa"/>
          <w:shd w:val="clear" w:color="auto" w:fill="auto"/>
          <w:vAlign w:val="bottom"/>
        </w:tcPr>
        <w:p w14:paraId="38FCE2BC" w14:textId="6756C02E" w:rsidR="00A00742" w:rsidRPr="00C21643" w:rsidRDefault="00C21643" w:rsidP="00EA3368">
          <w:pPr>
            <w:spacing w:before="120" w:after="0" w:line="276" w:lineRule="auto"/>
            <w:rPr>
              <w:rFonts w:ascii="Palatino Linotype" w:hAnsi="Palatino Linotype" w:cs="Times New Roman"/>
              <w:sz w:val="20"/>
              <w:szCs w:val="20"/>
            </w:rPr>
          </w:pPr>
          <w:r w:rsidRPr="00C21643">
            <w:rPr>
              <w:rFonts w:ascii="Palatino Linotype" w:hAnsi="Palatino Linotype" w:cs="Times New Roman"/>
              <w:b/>
              <w:sz w:val="20"/>
              <w:szCs w:val="20"/>
            </w:rPr>
            <w:t>Nguyễn Thị Hải Yến</w:t>
          </w:r>
          <w:r w:rsidRPr="00C21643">
            <w:rPr>
              <w:rFonts w:ascii="Palatino Linotype" w:hAnsi="Palatino Linotype" w:cs="Times New Roman"/>
              <w:sz w:val="20"/>
              <w:szCs w:val="20"/>
            </w:rPr>
            <w:t xml:space="preserve">, </w:t>
          </w:r>
          <w:r w:rsidRPr="00C21643">
            <w:rPr>
              <w:rFonts w:ascii="Palatino Linotype" w:hAnsi="Palatino Linotype" w:cs="Times New Roman"/>
              <w:b/>
              <w:sz w:val="20"/>
              <w:szCs w:val="20"/>
            </w:rPr>
            <w:t>Ngô Thị Hoàng Vân</w:t>
          </w:r>
          <w:r w:rsidR="00EA3368">
            <w:rPr>
              <w:rFonts w:ascii="Palatino Linotype" w:hAnsi="Palatino Linotype" w:cs="Times New Roman"/>
              <w:b/>
              <w:sz w:val="20"/>
              <w:szCs w:val="20"/>
            </w:rPr>
            <w:t>, Phan Đức Duy</w:t>
          </w:r>
        </w:p>
      </w:tc>
      <w:tc>
        <w:tcPr>
          <w:tcW w:w="1984" w:type="dxa"/>
          <w:shd w:val="clear" w:color="auto" w:fill="auto"/>
          <w:vAlign w:val="bottom"/>
        </w:tcPr>
        <w:p w14:paraId="589308AF" w14:textId="318B305F" w:rsidR="00A00742" w:rsidRPr="007D0FE7" w:rsidRDefault="00FD4DA2" w:rsidP="002E590E">
          <w:pPr>
            <w:pStyle w:val="Header"/>
            <w:tabs>
              <w:tab w:val="right" w:pos="8505"/>
            </w:tabs>
            <w:jc w:val="right"/>
            <w:rPr>
              <w:rFonts w:ascii="Cambria" w:hAnsi="Cambria"/>
              <w:sz w:val="20"/>
              <w:lang w:val="sv-SE"/>
            </w:rPr>
          </w:pPr>
          <w:r w:rsidRPr="007D0FE7">
            <w:rPr>
              <w:rFonts w:ascii="Cambria" w:hAnsi="Cambria"/>
              <w:sz w:val="20"/>
              <w:lang w:val="sv-SE"/>
            </w:rPr>
            <w:t>T</w:t>
          </w:r>
          <w:r w:rsidRPr="007D0FE7">
            <w:rPr>
              <w:sz w:val="20"/>
              <w:lang w:val="sv-SE"/>
            </w:rPr>
            <w:t>ậ</w:t>
          </w:r>
          <w:r w:rsidRPr="007D0FE7">
            <w:rPr>
              <w:rFonts w:ascii="Cambria" w:hAnsi="Cambria" w:cs="Cambria"/>
              <w:sz w:val="20"/>
              <w:lang w:val="sv-SE"/>
            </w:rPr>
            <w:t>p 1</w:t>
          </w:r>
          <w:r>
            <w:rPr>
              <w:rFonts w:ascii="Cambria" w:hAnsi="Cambria"/>
              <w:sz w:val="20"/>
              <w:lang w:val="sv-SE"/>
            </w:rPr>
            <w:t>2</w:t>
          </w:r>
          <w:r w:rsidR="009E0A12">
            <w:rPr>
              <w:rFonts w:ascii="Cambria" w:hAnsi="Cambria"/>
              <w:sz w:val="20"/>
              <w:lang w:val="sv-SE"/>
            </w:rPr>
            <w:t>9</w:t>
          </w:r>
          <w:r w:rsidRPr="007D0FE7">
            <w:rPr>
              <w:rFonts w:ascii="Cambria" w:hAnsi="Cambria"/>
              <w:sz w:val="20"/>
              <w:lang w:val="sv-SE"/>
            </w:rPr>
            <w:t>, S</w:t>
          </w:r>
          <w:r w:rsidRPr="007D0FE7">
            <w:rPr>
              <w:sz w:val="20"/>
              <w:lang w:val="sv-SE"/>
            </w:rPr>
            <w:t>ố</w:t>
          </w:r>
          <w:r w:rsidR="009E0A12">
            <w:rPr>
              <w:sz w:val="20"/>
              <w:lang w:val="sv-SE"/>
            </w:rPr>
            <w:t xml:space="preserve"> </w:t>
          </w:r>
          <w:r>
            <w:rPr>
              <w:rFonts w:ascii="Cambria" w:hAnsi="Cambria" w:cs="Cambria"/>
              <w:sz w:val="20"/>
              <w:lang w:val="sv-SE"/>
            </w:rPr>
            <w:t>6</w:t>
          </w:r>
          <w:r w:rsidR="002E590E">
            <w:rPr>
              <w:rFonts w:ascii="Cambria" w:hAnsi="Cambria" w:cs="Cambria"/>
              <w:sz w:val="20"/>
              <w:lang w:val="sv-SE"/>
            </w:rPr>
            <w:t>D</w:t>
          </w:r>
          <w:r w:rsidRPr="007D0FE7">
            <w:rPr>
              <w:rFonts w:ascii="Cambria" w:hAnsi="Cambria"/>
              <w:sz w:val="20"/>
              <w:lang w:val="sv-SE"/>
            </w:rPr>
            <w:t>, 20</w:t>
          </w:r>
          <w:r w:rsidR="009E0A12">
            <w:rPr>
              <w:rFonts w:ascii="Cambria" w:hAnsi="Cambria"/>
              <w:sz w:val="20"/>
              <w:lang w:val="sv-SE"/>
            </w:rPr>
            <w:t>20</w:t>
          </w:r>
        </w:p>
      </w:tc>
    </w:tr>
  </w:tbl>
  <w:p w14:paraId="55182793" w14:textId="77777777" w:rsidR="00A00742" w:rsidRDefault="005A6615" w:rsidP="00A007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CellMar>
        <w:left w:w="0" w:type="dxa"/>
        <w:right w:w="0" w:type="dxa"/>
      </w:tblCellMar>
      <w:tblLook w:val="04A0" w:firstRow="1" w:lastRow="0" w:firstColumn="1" w:lastColumn="0" w:noHBand="0" w:noVBand="1"/>
    </w:tblPr>
    <w:tblGrid>
      <w:gridCol w:w="4269"/>
      <w:gridCol w:w="4236"/>
    </w:tblGrid>
    <w:tr w:rsidR="00A00742" w:rsidRPr="005B5FCC" w14:paraId="761DAB51" w14:textId="77777777">
      <w:trPr>
        <w:trHeight w:val="1021"/>
        <w:jc w:val="center"/>
      </w:trPr>
      <w:tc>
        <w:tcPr>
          <w:tcW w:w="4360" w:type="dxa"/>
          <w:shd w:val="clear" w:color="auto" w:fill="auto"/>
          <w:vAlign w:val="bottom"/>
        </w:tcPr>
        <w:p w14:paraId="65984DC6" w14:textId="77777777" w:rsidR="00A00742" w:rsidRPr="00F63C86" w:rsidRDefault="00FD4DA2" w:rsidP="00A00742">
          <w:pPr>
            <w:pStyle w:val="Header"/>
            <w:tabs>
              <w:tab w:val="left" w:pos="0"/>
              <w:tab w:val="right" w:pos="8505"/>
            </w:tabs>
            <w:rPr>
              <w:sz w:val="20"/>
              <w:lang w:val="sv-SE"/>
            </w:rPr>
          </w:pPr>
          <w:r w:rsidRPr="00F63C86">
            <w:rPr>
              <w:rFonts w:ascii="Cambria" w:hAnsi="Cambria"/>
              <w:sz w:val="20"/>
              <w:lang w:val="sv-SE"/>
            </w:rPr>
            <w:t>Jos.hueuni.edu.vn</w:t>
          </w:r>
        </w:p>
      </w:tc>
      <w:tc>
        <w:tcPr>
          <w:tcW w:w="4361" w:type="dxa"/>
          <w:shd w:val="clear" w:color="auto" w:fill="auto"/>
          <w:vAlign w:val="bottom"/>
        </w:tcPr>
        <w:p w14:paraId="1EEC9BB2" w14:textId="37BB3CEA" w:rsidR="00A00742" w:rsidRPr="00F63C86" w:rsidRDefault="00FD4DA2" w:rsidP="00860A21">
          <w:pPr>
            <w:pStyle w:val="Header"/>
            <w:tabs>
              <w:tab w:val="left" w:pos="0"/>
              <w:tab w:val="right" w:pos="8505"/>
            </w:tabs>
            <w:jc w:val="right"/>
            <w:rPr>
              <w:sz w:val="20"/>
              <w:lang w:val="sv-SE"/>
            </w:rPr>
          </w:pPr>
          <w:r>
            <w:rPr>
              <w:rFonts w:ascii="Cambria" w:hAnsi="Cambria"/>
              <w:sz w:val="20"/>
              <w:lang w:val="sv-SE"/>
            </w:rPr>
            <w:t>T</w:t>
          </w:r>
          <w:r>
            <w:rPr>
              <w:sz w:val="20"/>
              <w:lang w:val="sv-SE"/>
            </w:rPr>
            <w:t>ậ</w:t>
          </w:r>
          <w:r>
            <w:rPr>
              <w:rFonts w:ascii="Cambria" w:hAnsi="Cambria" w:cs="Cambria"/>
              <w:sz w:val="20"/>
              <w:lang w:val="sv-SE"/>
            </w:rPr>
            <w:t>p 1</w:t>
          </w:r>
          <w:r>
            <w:rPr>
              <w:rFonts w:ascii="Cambria" w:hAnsi="Cambria"/>
              <w:sz w:val="20"/>
              <w:lang w:val="sv-SE"/>
            </w:rPr>
            <w:t>2</w:t>
          </w:r>
          <w:r w:rsidR="0040716B">
            <w:rPr>
              <w:rFonts w:ascii="Cambria" w:hAnsi="Cambria"/>
              <w:sz w:val="20"/>
              <w:lang w:val="sv-SE"/>
            </w:rPr>
            <w:t>9</w:t>
          </w:r>
          <w:r>
            <w:rPr>
              <w:rFonts w:ascii="Cambria" w:hAnsi="Cambria"/>
              <w:sz w:val="20"/>
              <w:lang w:val="sv-SE"/>
            </w:rPr>
            <w:t>, S</w:t>
          </w:r>
          <w:r>
            <w:rPr>
              <w:sz w:val="20"/>
              <w:lang w:val="sv-SE"/>
            </w:rPr>
            <w:t xml:space="preserve">ố </w:t>
          </w:r>
          <w:r w:rsidR="0040716B">
            <w:rPr>
              <w:rFonts w:ascii="Cambria" w:hAnsi="Cambria"/>
              <w:sz w:val="20"/>
              <w:lang w:val="sv-SE"/>
            </w:rPr>
            <w:t>6</w:t>
          </w:r>
          <w:r w:rsidR="00860A21">
            <w:rPr>
              <w:rFonts w:ascii="Cambria" w:hAnsi="Cambria"/>
              <w:sz w:val="20"/>
              <w:lang w:val="sv-SE"/>
            </w:rPr>
            <w:t>D</w:t>
          </w:r>
          <w:r>
            <w:rPr>
              <w:rFonts w:ascii="Cambria" w:hAnsi="Cambria"/>
              <w:sz w:val="20"/>
              <w:lang w:val="sv-SE"/>
            </w:rPr>
            <w:t>, 2</w:t>
          </w:r>
          <w:r w:rsidRPr="00F63C86">
            <w:rPr>
              <w:rFonts w:ascii="Cambria" w:hAnsi="Cambria"/>
              <w:sz w:val="20"/>
              <w:lang w:val="sv-SE"/>
            </w:rPr>
            <w:t>0</w:t>
          </w:r>
          <w:r w:rsidR="0040716B">
            <w:rPr>
              <w:rFonts w:ascii="Cambria" w:hAnsi="Cambria"/>
              <w:sz w:val="20"/>
              <w:lang w:val="sv-SE"/>
            </w:rPr>
            <w:t>20</w:t>
          </w:r>
        </w:p>
      </w:tc>
    </w:tr>
  </w:tbl>
  <w:p w14:paraId="6B423058" w14:textId="77777777" w:rsidR="00A00742" w:rsidRDefault="005A6615" w:rsidP="00A007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ayout w:type="fixed"/>
      <w:tblCellMar>
        <w:left w:w="0" w:type="dxa"/>
        <w:right w:w="0" w:type="dxa"/>
      </w:tblCellMar>
      <w:tblLook w:val="04A0" w:firstRow="1" w:lastRow="0" w:firstColumn="1" w:lastColumn="0" w:noHBand="0" w:noVBand="1"/>
    </w:tblPr>
    <w:tblGrid>
      <w:gridCol w:w="671"/>
      <w:gridCol w:w="7834"/>
    </w:tblGrid>
    <w:tr w:rsidR="00A00742" w:rsidRPr="006B6B26" w14:paraId="03BDBBD9" w14:textId="77777777">
      <w:tc>
        <w:tcPr>
          <w:tcW w:w="688" w:type="dxa"/>
          <w:shd w:val="clear" w:color="auto" w:fill="auto"/>
          <w:noWrap/>
          <w:vAlign w:val="center"/>
        </w:tcPr>
        <w:p w14:paraId="593FEF53" w14:textId="77777777" w:rsidR="00A00742" w:rsidRPr="00F63C86" w:rsidRDefault="00FD4DA2" w:rsidP="00A00742">
          <w:pPr>
            <w:pStyle w:val="image"/>
          </w:pPr>
          <w:r>
            <w:rPr>
              <w:noProof/>
              <w:lang w:eastAsia="en-US"/>
            </w:rPr>
            <w:drawing>
              <wp:inline distT="0" distB="0" distL="0" distR="0" wp14:anchorId="6CDDC1FF" wp14:editId="12683306">
                <wp:extent cx="429895" cy="434340"/>
                <wp:effectExtent l="0" t="0" r="8255" b="3810"/>
                <wp:docPr id="1" name="Picture 11" descr="logo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U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 cy="434340"/>
                        </a:xfrm>
                        <a:prstGeom prst="rect">
                          <a:avLst/>
                        </a:prstGeom>
                        <a:noFill/>
                        <a:ln>
                          <a:noFill/>
                        </a:ln>
                      </pic:spPr>
                    </pic:pic>
                  </a:graphicData>
                </a:graphic>
              </wp:inline>
            </w:drawing>
          </w:r>
        </w:p>
      </w:tc>
      <w:tc>
        <w:tcPr>
          <w:tcW w:w="8033" w:type="dxa"/>
          <w:shd w:val="clear" w:color="auto" w:fill="auto"/>
          <w:vAlign w:val="center"/>
        </w:tcPr>
        <w:p w14:paraId="04CD3A4B" w14:textId="4316D7CA" w:rsidR="00A00742" w:rsidRPr="001B28DE" w:rsidRDefault="00FD4DA2" w:rsidP="00A00742">
          <w:pPr>
            <w:pStyle w:val="Header"/>
            <w:jc w:val="right"/>
            <w:rPr>
              <w:rFonts w:ascii="Cambria" w:hAnsi="Cambria" w:cs="Arial"/>
              <w:sz w:val="20"/>
            </w:rPr>
          </w:pPr>
          <w:r w:rsidRPr="001B28DE">
            <w:rPr>
              <w:rFonts w:ascii="Cambria" w:hAnsi="Cambria" w:cs="Arial"/>
              <w:sz w:val="20"/>
            </w:rPr>
            <w:t>Tạp chí Khoa học Đại học Huế</w:t>
          </w:r>
          <w:r>
            <w:rPr>
              <w:rFonts w:ascii="Cambria" w:hAnsi="Cambria" w:cs="Arial"/>
              <w:sz w:val="20"/>
            </w:rPr>
            <w:t xml:space="preserve">: </w:t>
          </w:r>
          <w:r w:rsidR="006573D0">
            <w:rPr>
              <w:rFonts w:ascii="Cambria" w:hAnsi="Cambria" w:cs="Arial"/>
              <w:sz w:val="20"/>
            </w:rPr>
            <w:t xml:space="preserve">Khoa học </w:t>
          </w:r>
          <w:r>
            <w:rPr>
              <w:rFonts w:ascii="Cambria" w:hAnsi="Cambria" w:cs="Arial"/>
              <w:sz w:val="20"/>
            </w:rPr>
            <w:t xml:space="preserve">Xã hội </w:t>
          </w:r>
          <w:r w:rsidR="006573D0">
            <w:rPr>
              <w:rFonts w:ascii="Cambria" w:hAnsi="Cambria" w:cs="Arial"/>
              <w:sz w:val="20"/>
            </w:rPr>
            <w:t xml:space="preserve">và </w:t>
          </w:r>
          <w:r>
            <w:rPr>
              <w:rFonts w:ascii="Cambria" w:hAnsi="Cambria" w:cs="Arial"/>
              <w:sz w:val="20"/>
            </w:rPr>
            <w:t>Nhân văn</w:t>
          </w:r>
        </w:p>
        <w:p w14:paraId="5041FB61" w14:textId="77777777" w:rsidR="00A00742" w:rsidRPr="001B28DE" w:rsidRDefault="00FD4DA2" w:rsidP="00A00742">
          <w:pPr>
            <w:pStyle w:val="Header"/>
            <w:jc w:val="right"/>
            <w:rPr>
              <w:rFonts w:ascii="Cambria" w:hAnsi="Cambria" w:cs="Arial"/>
              <w:sz w:val="20"/>
            </w:rPr>
          </w:pPr>
          <w:r w:rsidRPr="001B28DE">
            <w:rPr>
              <w:rFonts w:ascii="Cambria" w:hAnsi="Cambria" w:cs="Arial"/>
              <w:sz w:val="20"/>
            </w:rPr>
            <w:t>ISSN 2588</w:t>
          </w:r>
          <w:r>
            <w:rPr>
              <w:rFonts w:ascii="Cambria" w:hAnsi="Cambria" w:cs="Arial"/>
              <w:sz w:val="20"/>
            </w:rPr>
            <w:t>-</w:t>
          </w:r>
          <w:r w:rsidRPr="001B28DE">
            <w:rPr>
              <w:rFonts w:ascii="Cambria" w:hAnsi="Cambria" w:cs="Arial"/>
              <w:sz w:val="20"/>
            </w:rPr>
            <w:t>1213</w:t>
          </w:r>
        </w:p>
        <w:p w14:paraId="0E55918E" w14:textId="0287854E" w:rsidR="00A00742" w:rsidRPr="001B28DE" w:rsidRDefault="00FD4DA2" w:rsidP="002E590E">
          <w:pPr>
            <w:pStyle w:val="Header"/>
            <w:jc w:val="right"/>
            <w:rPr>
              <w:rFonts w:ascii="Cambria" w:hAnsi="Cambria" w:cs="Arial"/>
              <w:sz w:val="20"/>
            </w:rPr>
          </w:pPr>
          <w:r w:rsidRPr="00B05F56">
            <w:rPr>
              <w:rFonts w:ascii="Cambria" w:hAnsi="Cambria" w:cs="Arial"/>
              <w:sz w:val="20"/>
            </w:rPr>
            <w:t>Tập 129, Số 6</w:t>
          </w:r>
          <w:r w:rsidR="002E590E">
            <w:rPr>
              <w:rFonts w:ascii="Cambria" w:hAnsi="Cambria" w:cs="Arial"/>
              <w:sz w:val="20"/>
            </w:rPr>
            <w:t>D</w:t>
          </w:r>
          <w:r w:rsidRPr="00B05F56">
            <w:rPr>
              <w:rFonts w:ascii="Cambria" w:hAnsi="Cambria" w:cs="Arial"/>
              <w:sz w:val="20"/>
            </w:rPr>
            <w:t>, 2020</w:t>
          </w:r>
          <w:r w:rsidRPr="006B6B26">
            <w:rPr>
              <w:rFonts w:ascii="Cambria" w:hAnsi="Cambria" w:cs="Arial"/>
              <w:sz w:val="20"/>
            </w:rPr>
            <w:t xml:space="preserve">, Tr. </w:t>
          </w:r>
          <w:r w:rsidR="006B6B26">
            <w:rPr>
              <w:rFonts w:ascii="Cambria" w:hAnsi="Cambria" w:cs="Arial"/>
              <w:sz w:val="20"/>
            </w:rPr>
            <w:t>1</w:t>
          </w:r>
          <w:r w:rsidR="0005211F">
            <w:rPr>
              <w:rFonts w:ascii="Cambria" w:hAnsi="Cambria" w:cs="Arial"/>
              <w:sz w:val="20"/>
            </w:rPr>
            <w:t>19</w:t>
          </w:r>
          <w:r w:rsidRPr="006B6B26">
            <w:rPr>
              <w:rFonts w:ascii="Cambria" w:hAnsi="Cambria" w:cs="Arial"/>
              <w:sz w:val="20"/>
            </w:rPr>
            <w:t>–</w:t>
          </w:r>
          <w:r w:rsidR="006B6B26">
            <w:rPr>
              <w:rFonts w:ascii="Cambria" w:hAnsi="Cambria" w:cs="Arial"/>
              <w:sz w:val="20"/>
            </w:rPr>
            <w:t>1</w:t>
          </w:r>
          <w:r w:rsidR="0005211F">
            <w:rPr>
              <w:rFonts w:ascii="Cambria" w:hAnsi="Cambria" w:cs="Arial"/>
              <w:sz w:val="20"/>
            </w:rPr>
            <w:t>29</w:t>
          </w:r>
          <w:r w:rsidRPr="001B28DE">
            <w:rPr>
              <w:rFonts w:ascii="Cambria" w:hAnsi="Cambria" w:cs="Arial"/>
              <w:sz w:val="20"/>
            </w:rPr>
            <w:t xml:space="preserve">; </w:t>
          </w:r>
          <w:r w:rsidRPr="006B6B26">
            <w:rPr>
              <w:rFonts w:ascii="Cambria" w:hAnsi="Cambria" w:cs="Arial"/>
              <w:b/>
              <w:sz w:val="20"/>
            </w:rPr>
            <w:t>DOI: </w:t>
          </w:r>
          <w:r w:rsidR="006B6B26" w:rsidRPr="006B6B26">
            <w:rPr>
              <w:rFonts w:ascii="Cambria" w:hAnsi="Cambria" w:cs="Arial"/>
              <w:sz w:val="20"/>
            </w:rPr>
            <w:t> </w:t>
          </w:r>
          <w:r w:rsidR="00557845" w:rsidRPr="00557845">
            <w:rPr>
              <w:rFonts w:ascii="Cambria" w:hAnsi="Cambria" w:cs="Arial"/>
              <w:sz w:val="20"/>
            </w:rPr>
            <w:t>10.26459/hueuni-jssh.v129i6D.5860</w:t>
          </w:r>
        </w:p>
      </w:tc>
      <w:bookmarkStart w:id="1" w:name="_GoBack"/>
      <w:bookmarkEnd w:id="1"/>
    </w:tr>
  </w:tbl>
  <w:p w14:paraId="20DC1D58" w14:textId="77777777" w:rsidR="00A00742" w:rsidRDefault="005A6615" w:rsidP="00A00742">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754"/>
    <w:multiLevelType w:val="hybridMultilevel"/>
    <w:tmpl w:val="D4B6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53601"/>
    <w:multiLevelType w:val="multilevel"/>
    <w:tmpl w:val="011CC7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F5601C5"/>
    <w:multiLevelType w:val="hybridMultilevel"/>
    <w:tmpl w:val="D4B6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50A9F"/>
    <w:multiLevelType w:val="hybridMultilevel"/>
    <w:tmpl w:val="B9AC83D8"/>
    <w:lvl w:ilvl="0" w:tplc="CDDE4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42C92"/>
    <w:multiLevelType w:val="multilevel"/>
    <w:tmpl w:val="1BD654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4EE10A4"/>
    <w:multiLevelType w:val="hybridMultilevel"/>
    <w:tmpl w:val="5E2A075E"/>
    <w:lvl w:ilvl="0" w:tplc="4DD090C6">
      <w:numFmt w:val="bullet"/>
      <w:lvlText w:val=""/>
      <w:lvlJc w:val="left"/>
      <w:pPr>
        <w:ind w:left="1080" w:hanging="360"/>
      </w:pPr>
      <w:rPr>
        <w:rFonts w:ascii="Symbol" w:eastAsia="Calibr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697DEF"/>
    <w:multiLevelType w:val="hybridMultilevel"/>
    <w:tmpl w:val="D4B6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E521C"/>
    <w:multiLevelType w:val="hybridMultilevel"/>
    <w:tmpl w:val="D4B6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B2AFA"/>
    <w:multiLevelType w:val="hybridMultilevel"/>
    <w:tmpl w:val="D7BE0A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89C3554"/>
    <w:multiLevelType w:val="hybridMultilevel"/>
    <w:tmpl w:val="DA7C7002"/>
    <w:lvl w:ilvl="0" w:tplc="704695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C195F"/>
    <w:multiLevelType w:val="hybridMultilevel"/>
    <w:tmpl w:val="00DC7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631A3"/>
    <w:multiLevelType w:val="hybridMultilevel"/>
    <w:tmpl w:val="ECCE2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429EC"/>
    <w:multiLevelType w:val="hybridMultilevel"/>
    <w:tmpl w:val="A532F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91639"/>
    <w:multiLevelType w:val="hybridMultilevel"/>
    <w:tmpl w:val="EC1A5EB8"/>
    <w:lvl w:ilvl="0" w:tplc="2506E1B0">
      <w:start w:val="1"/>
      <w:numFmt w:val="decimal"/>
      <w:lvlText w:val="%1."/>
      <w:lvlJc w:val="left"/>
      <w:pPr>
        <w:ind w:left="786" w:hanging="360"/>
      </w:pPr>
      <w:rPr>
        <w:i w:val="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4">
    <w:nsid w:val="331B42A6"/>
    <w:multiLevelType w:val="hybridMultilevel"/>
    <w:tmpl w:val="D4B6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A4D46"/>
    <w:multiLevelType w:val="hybridMultilevel"/>
    <w:tmpl w:val="90A80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C1917"/>
    <w:multiLevelType w:val="hybridMultilevel"/>
    <w:tmpl w:val="D4B6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3A215A"/>
    <w:multiLevelType w:val="hybridMultilevel"/>
    <w:tmpl w:val="B9F8D1C6"/>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4E245FD"/>
    <w:multiLevelType w:val="hybridMultilevel"/>
    <w:tmpl w:val="54B07878"/>
    <w:lvl w:ilvl="0" w:tplc="1CBE0C2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C75B8"/>
    <w:multiLevelType w:val="hybridMultilevel"/>
    <w:tmpl w:val="CC1282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AFD0DAF"/>
    <w:multiLevelType w:val="hybridMultilevel"/>
    <w:tmpl w:val="4AC6F4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776208"/>
    <w:multiLevelType w:val="hybridMultilevel"/>
    <w:tmpl w:val="0B1ED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909B0"/>
    <w:multiLevelType w:val="hybridMultilevel"/>
    <w:tmpl w:val="666C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1E3A36"/>
    <w:multiLevelType w:val="hybridMultilevel"/>
    <w:tmpl w:val="B9E2C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5E163C"/>
    <w:multiLevelType w:val="hybridMultilevel"/>
    <w:tmpl w:val="D4B6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B740EE"/>
    <w:multiLevelType w:val="hybridMultilevel"/>
    <w:tmpl w:val="7ABE6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7E00A3"/>
    <w:multiLevelType w:val="hybridMultilevel"/>
    <w:tmpl w:val="BBD2E27A"/>
    <w:lvl w:ilvl="0" w:tplc="CB109AA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F666B"/>
    <w:multiLevelType w:val="hybridMultilevel"/>
    <w:tmpl w:val="D3028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1410FE"/>
    <w:multiLevelType w:val="multilevel"/>
    <w:tmpl w:val="8730E3F2"/>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b/>
        <w:sz w:val="26"/>
        <w:szCs w:val="26"/>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CB635A4"/>
    <w:multiLevelType w:val="hybridMultilevel"/>
    <w:tmpl w:val="04F8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3"/>
  </w:num>
  <w:num w:numId="4">
    <w:abstractNumId w:val="15"/>
  </w:num>
  <w:num w:numId="5">
    <w:abstractNumId w:val="20"/>
  </w:num>
  <w:num w:numId="6">
    <w:abstractNumId w:val="11"/>
  </w:num>
  <w:num w:numId="7">
    <w:abstractNumId w:val="10"/>
  </w:num>
  <w:num w:numId="8">
    <w:abstractNumId w:val="19"/>
  </w:num>
  <w:num w:numId="9">
    <w:abstractNumId w:val="17"/>
  </w:num>
  <w:num w:numId="10">
    <w:abstractNumId w:val="9"/>
  </w:num>
  <w:num w:numId="11">
    <w:abstractNumId w:val="5"/>
  </w:num>
  <w:num w:numId="12">
    <w:abstractNumId w:val="28"/>
  </w:num>
  <w:num w:numId="13">
    <w:abstractNumId w:val="14"/>
  </w:num>
  <w:num w:numId="14">
    <w:abstractNumId w:val="18"/>
  </w:num>
  <w:num w:numId="15">
    <w:abstractNumId w:val="7"/>
  </w:num>
  <w:num w:numId="16">
    <w:abstractNumId w:val="2"/>
  </w:num>
  <w:num w:numId="17">
    <w:abstractNumId w:val="0"/>
  </w:num>
  <w:num w:numId="18">
    <w:abstractNumId w:val="6"/>
  </w:num>
  <w:num w:numId="19">
    <w:abstractNumId w:val="16"/>
  </w:num>
  <w:num w:numId="20">
    <w:abstractNumId w:val="26"/>
  </w:num>
  <w:num w:numId="21">
    <w:abstractNumId w:val="24"/>
  </w:num>
  <w:num w:numId="22">
    <w:abstractNumId w:val="12"/>
  </w:num>
  <w:num w:numId="23">
    <w:abstractNumId w:val="22"/>
  </w:num>
  <w:num w:numId="24">
    <w:abstractNumId w:val="1"/>
  </w:num>
  <w:num w:numId="25">
    <w:abstractNumId w:val="4"/>
  </w:num>
  <w:num w:numId="26">
    <w:abstractNumId w:val="25"/>
  </w:num>
  <w:num w:numId="27">
    <w:abstractNumId w:val="8"/>
  </w:num>
  <w:num w:numId="28">
    <w:abstractNumId w:val="23"/>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FD"/>
    <w:rsid w:val="000010A9"/>
    <w:rsid w:val="00035B8E"/>
    <w:rsid w:val="00045CF6"/>
    <w:rsid w:val="0005211F"/>
    <w:rsid w:val="00084F92"/>
    <w:rsid w:val="00096A26"/>
    <w:rsid w:val="00164502"/>
    <w:rsid w:val="001A2B1D"/>
    <w:rsid w:val="001A40F0"/>
    <w:rsid w:val="001B2876"/>
    <w:rsid w:val="001B6934"/>
    <w:rsid w:val="001F4A8F"/>
    <w:rsid w:val="00204981"/>
    <w:rsid w:val="002146D6"/>
    <w:rsid w:val="00236B5A"/>
    <w:rsid w:val="00241343"/>
    <w:rsid w:val="00274A79"/>
    <w:rsid w:val="00282A72"/>
    <w:rsid w:val="002C4621"/>
    <w:rsid w:val="002E093F"/>
    <w:rsid w:val="002E590E"/>
    <w:rsid w:val="002F3D03"/>
    <w:rsid w:val="003312BC"/>
    <w:rsid w:val="00335156"/>
    <w:rsid w:val="00350A48"/>
    <w:rsid w:val="003D319C"/>
    <w:rsid w:val="0040716B"/>
    <w:rsid w:val="004455D1"/>
    <w:rsid w:val="0045505D"/>
    <w:rsid w:val="00460D7F"/>
    <w:rsid w:val="004855EC"/>
    <w:rsid w:val="00496DD0"/>
    <w:rsid w:val="004B095A"/>
    <w:rsid w:val="004D0620"/>
    <w:rsid w:val="004D32A9"/>
    <w:rsid w:val="004D3973"/>
    <w:rsid w:val="00503582"/>
    <w:rsid w:val="005313AE"/>
    <w:rsid w:val="00557845"/>
    <w:rsid w:val="00572E81"/>
    <w:rsid w:val="00581E80"/>
    <w:rsid w:val="005A6615"/>
    <w:rsid w:val="005B39D6"/>
    <w:rsid w:val="00601761"/>
    <w:rsid w:val="00641545"/>
    <w:rsid w:val="006573D0"/>
    <w:rsid w:val="0067156C"/>
    <w:rsid w:val="00682D01"/>
    <w:rsid w:val="006843B7"/>
    <w:rsid w:val="006B18D8"/>
    <w:rsid w:val="006B6B26"/>
    <w:rsid w:val="006E367A"/>
    <w:rsid w:val="007254C3"/>
    <w:rsid w:val="00731356"/>
    <w:rsid w:val="007336BD"/>
    <w:rsid w:val="007D0961"/>
    <w:rsid w:val="007D39BA"/>
    <w:rsid w:val="007F6412"/>
    <w:rsid w:val="00844334"/>
    <w:rsid w:val="008517F4"/>
    <w:rsid w:val="00860A21"/>
    <w:rsid w:val="00870BE6"/>
    <w:rsid w:val="008768A1"/>
    <w:rsid w:val="008A3586"/>
    <w:rsid w:val="008D257A"/>
    <w:rsid w:val="008F6491"/>
    <w:rsid w:val="00901137"/>
    <w:rsid w:val="009C1D22"/>
    <w:rsid w:val="009C1DBB"/>
    <w:rsid w:val="009E0A12"/>
    <w:rsid w:val="009E69F9"/>
    <w:rsid w:val="00A03227"/>
    <w:rsid w:val="00A4254F"/>
    <w:rsid w:val="00A5190A"/>
    <w:rsid w:val="00A640DB"/>
    <w:rsid w:val="00A6695A"/>
    <w:rsid w:val="00AB2ADF"/>
    <w:rsid w:val="00B0288B"/>
    <w:rsid w:val="00B05F56"/>
    <w:rsid w:val="00B41606"/>
    <w:rsid w:val="00B92D15"/>
    <w:rsid w:val="00B93EFD"/>
    <w:rsid w:val="00B9774E"/>
    <w:rsid w:val="00BB268C"/>
    <w:rsid w:val="00BB3A59"/>
    <w:rsid w:val="00BF19AE"/>
    <w:rsid w:val="00C21643"/>
    <w:rsid w:val="00C71F4B"/>
    <w:rsid w:val="00CB63AE"/>
    <w:rsid w:val="00CE7818"/>
    <w:rsid w:val="00D62592"/>
    <w:rsid w:val="00D743C7"/>
    <w:rsid w:val="00D762DE"/>
    <w:rsid w:val="00DF31C4"/>
    <w:rsid w:val="00E35282"/>
    <w:rsid w:val="00E55ED1"/>
    <w:rsid w:val="00E65CFE"/>
    <w:rsid w:val="00E73753"/>
    <w:rsid w:val="00EA3368"/>
    <w:rsid w:val="00EE7974"/>
    <w:rsid w:val="00EF45AB"/>
    <w:rsid w:val="00F15FCC"/>
    <w:rsid w:val="00F370B0"/>
    <w:rsid w:val="00F6609C"/>
    <w:rsid w:val="00FD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8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F"/>
  </w:style>
  <w:style w:type="paragraph" w:styleId="Heading1">
    <w:name w:val="heading 1"/>
    <w:basedOn w:val="Normal"/>
    <w:next w:val="Normal"/>
    <w:link w:val="Heading1Char"/>
    <w:uiPriority w:val="9"/>
    <w:qFormat/>
    <w:rsid w:val="00572E81"/>
    <w:pPr>
      <w:keepNext/>
      <w:keepLines/>
      <w:spacing w:before="480" w:after="0" w:line="276" w:lineRule="auto"/>
      <w:outlineLvl w:val="0"/>
    </w:pPr>
    <w:rPr>
      <w:rFonts w:asciiTheme="majorHAnsi" w:eastAsiaTheme="majorEastAsia" w:hAnsiTheme="majorHAnsi" w:cstheme="majorBidi"/>
      <w:b/>
      <w:bCs/>
      <w:color w:val="2E74B5" w:themeColor="accent1" w:themeShade="BF"/>
      <w:szCs w:val="28"/>
      <w:lang w:val="vi-VN"/>
    </w:rPr>
  </w:style>
  <w:style w:type="paragraph" w:styleId="Heading2">
    <w:name w:val="heading 2"/>
    <w:basedOn w:val="Normal"/>
    <w:next w:val="Normal"/>
    <w:link w:val="Heading2Char"/>
    <w:uiPriority w:val="9"/>
    <w:unhideWhenUsed/>
    <w:qFormat/>
    <w:rsid w:val="004B095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572E81"/>
    <w:pPr>
      <w:keepNext/>
      <w:keepLines/>
      <w:spacing w:before="200" w:after="0" w:line="276" w:lineRule="auto"/>
      <w:outlineLvl w:val="3"/>
    </w:pPr>
    <w:rPr>
      <w:rFonts w:asciiTheme="majorHAnsi" w:eastAsiaTheme="majorEastAsia" w:hAnsiTheme="majorHAnsi" w:cstheme="majorBidi"/>
      <w:b/>
      <w:bCs/>
      <w:i/>
      <w:iCs/>
      <w:color w:val="5B9BD5"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3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FD"/>
  </w:style>
  <w:style w:type="paragraph" w:styleId="Header">
    <w:name w:val="header"/>
    <w:basedOn w:val="Normal"/>
    <w:link w:val="HeaderChar"/>
    <w:uiPriority w:val="99"/>
    <w:unhideWhenUsed/>
    <w:rsid w:val="00B93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FD"/>
  </w:style>
  <w:style w:type="paragraph" w:styleId="FootnoteText">
    <w:name w:val="footnote text"/>
    <w:basedOn w:val="Normal"/>
    <w:link w:val="FootnoteTextChar"/>
    <w:uiPriority w:val="99"/>
    <w:unhideWhenUsed/>
    <w:rsid w:val="00B93EFD"/>
    <w:pPr>
      <w:spacing w:after="0" w:line="240" w:lineRule="auto"/>
    </w:pPr>
    <w:rPr>
      <w:sz w:val="20"/>
      <w:szCs w:val="20"/>
    </w:rPr>
  </w:style>
  <w:style w:type="character" w:customStyle="1" w:styleId="FootnoteTextChar">
    <w:name w:val="Footnote Text Char"/>
    <w:basedOn w:val="DefaultParagraphFont"/>
    <w:link w:val="FootnoteText"/>
    <w:uiPriority w:val="99"/>
    <w:rsid w:val="00B93EFD"/>
    <w:rPr>
      <w:sz w:val="20"/>
      <w:szCs w:val="20"/>
    </w:rPr>
  </w:style>
  <w:style w:type="paragraph" w:styleId="CommentText">
    <w:name w:val="annotation text"/>
    <w:basedOn w:val="Normal"/>
    <w:link w:val="CommentTextChar"/>
    <w:uiPriority w:val="99"/>
    <w:semiHidden/>
    <w:unhideWhenUsed/>
    <w:rsid w:val="00B93EFD"/>
    <w:pPr>
      <w:spacing w:line="240" w:lineRule="auto"/>
    </w:pPr>
    <w:rPr>
      <w:sz w:val="20"/>
      <w:szCs w:val="20"/>
    </w:rPr>
  </w:style>
  <w:style w:type="character" w:customStyle="1" w:styleId="CommentTextChar">
    <w:name w:val="Comment Text Char"/>
    <w:basedOn w:val="DefaultParagraphFont"/>
    <w:link w:val="CommentText"/>
    <w:uiPriority w:val="99"/>
    <w:semiHidden/>
    <w:rsid w:val="00B93EFD"/>
    <w:rPr>
      <w:sz w:val="20"/>
      <w:szCs w:val="20"/>
    </w:rPr>
  </w:style>
  <w:style w:type="character" w:styleId="FootnoteReference">
    <w:name w:val="footnote reference"/>
    <w:aliases w:val="Footnote"/>
    <w:uiPriority w:val="99"/>
    <w:rsid w:val="00B93EFD"/>
    <w:rPr>
      <w:position w:val="0"/>
      <w:vertAlign w:val="superscript"/>
    </w:rPr>
  </w:style>
  <w:style w:type="paragraph" w:customStyle="1" w:styleId="image">
    <w:name w:val="image"/>
    <w:basedOn w:val="Normal"/>
    <w:next w:val="Normal"/>
    <w:rsid w:val="00B93EFD"/>
    <w:pPr>
      <w:overflowPunct w:val="0"/>
      <w:autoSpaceDE w:val="0"/>
      <w:autoSpaceDN w:val="0"/>
      <w:adjustRightInd w:val="0"/>
      <w:spacing w:before="240" w:after="120" w:line="240" w:lineRule="atLeast"/>
      <w:jc w:val="center"/>
      <w:textAlignment w:val="baseline"/>
    </w:pPr>
    <w:rPr>
      <w:rFonts w:eastAsia="Times New Roman" w:cs="Times New Roman"/>
      <w:sz w:val="20"/>
      <w:szCs w:val="20"/>
      <w:lang w:eastAsia="de-DE"/>
    </w:rPr>
  </w:style>
  <w:style w:type="character" w:styleId="CommentReference">
    <w:name w:val="annotation reference"/>
    <w:uiPriority w:val="99"/>
    <w:unhideWhenUsed/>
    <w:rsid w:val="00B93EFD"/>
    <w:rPr>
      <w:sz w:val="16"/>
      <w:szCs w:val="16"/>
    </w:rPr>
  </w:style>
  <w:style w:type="paragraph" w:styleId="BalloonText">
    <w:name w:val="Balloon Text"/>
    <w:basedOn w:val="Normal"/>
    <w:link w:val="BalloonTextChar"/>
    <w:uiPriority w:val="99"/>
    <w:semiHidden/>
    <w:unhideWhenUsed/>
    <w:rsid w:val="0087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E6"/>
    <w:rPr>
      <w:rFonts w:ascii="Tahoma" w:hAnsi="Tahoma" w:cs="Tahoma"/>
      <w:sz w:val="16"/>
      <w:szCs w:val="16"/>
    </w:rPr>
  </w:style>
  <w:style w:type="character" w:styleId="Hyperlink">
    <w:name w:val="Hyperlink"/>
    <w:basedOn w:val="DefaultParagraphFont"/>
    <w:uiPriority w:val="99"/>
    <w:unhideWhenUsed/>
    <w:rsid w:val="008D257A"/>
    <w:rPr>
      <w:color w:val="0563C1" w:themeColor="hyperlink"/>
      <w:u w:val="single"/>
    </w:rPr>
  </w:style>
  <w:style w:type="paragraph" w:styleId="ListParagraph">
    <w:name w:val="List Paragraph"/>
    <w:basedOn w:val="Normal"/>
    <w:uiPriority w:val="34"/>
    <w:qFormat/>
    <w:rsid w:val="001A2B1D"/>
    <w:pPr>
      <w:ind w:left="720"/>
      <w:contextualSpacing/>
    </w:pPr>
  </w:style>
  <w:style w:type="paragraph" w:styleId="Subtitle">
    <w:name w:val="Subtitle"/>
    <w:basedOn w:val="Normal"/>
    <w:next w:val="Normal"/>
    <w:link w:val="SubtitleChar"/>
    <w:uiPriority w:val="11"/>
    <w:qFormat/>
    <w:rsid w:val="006843B7"/>
    <w:pPr>
      <w:numPr>
        <w:ilvl w:val="1"/>
      </w:numPr>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843B7"/>
    <w:rPr>
      <w:rFonts w:asciiTheme="majorHAnsi" w:eastAsiaTheme="majorEastAsia" w:hAnsiTheme="majorHAnsi" w:cstheme="majorBidi"/>
      <w:i/>
      <w:iCs/>
      <w:color w:val="5B9BD5" w:themeColor="accent1"/>
      <w:spacing w:val="15"/>
      <w:sz w:val="24"/>
      <w:szCs w:val="24"/>
    </w:rPr>
  </w:style>
  <w:style w:type="paragraph" w:styleId="NoSpacing">
    <w:name w:val="No Spacing"/>
    <w:uiPriority w:val="1"/>
    <w:qFormat/>
    <w:rsid w:val="006843B7"/>
    <w:pPr>
      <w:spacing w:after="0" w:line="240" w:lineRule="auto"/>
      <w:ind w:firstLine="720"/>
      <w:jc w:val="both"/>
    </w:pPr>
    <w:rPr>
      <w:rFonts w:eastAsia="SimSun" w:cs="Times New Roman"/>
      <w:sz w:val="24"/>
      <w:szCs w:val="20"/>
      <w:lang w:val="en-GB"/>
    </w:rPr>
  </w:style>
  <w:style w:type="paragraph" w:styleId="NormalWeb">
    <w:name w:val="Normal (Web)"/>
    <w:basedOn w:val="Normal"/>
    <w:link w:val="NormalWebChar"/>
    <w:uiPriority w:val="99"/>
    <w:unhideWhenUsed/>
    <w:rsid w:val="00335156"/>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locked/>
    <w:rsid w:val="00335156"/>
    <w:rPr>
      <w:rFonts w:eastAsia="Times New Roman" w:cs="Times New Roman"/>
      <w:sz w:val="24"/>
      <w:szCs w:val="24"/>
    </w:rPr>
  </w:style>
  <w:style w:type="character" w:customStyle="1" w:styleId="Heading1Char">
    <w:name w:val="Heading 1 Char"/>
    <w:basedOn w:val="DefaultParagraphFont"/>
    <w:link w:val="Heading1"/>
    <w:uiPriority w:val="9"/>
    <w:rsid w:val="00572E81"/>
    <w:rPr>
      <w:rFonts w:asciiTheme="majorHAnsi" w:eastAsiaTheme="majorEastAsia" w:hAnsiTheme="majorHAnsi" w:cstheme="majorBidi"/>
      <w:b/>
      <w:bCs/>
      <w:color w:val="2E74B5" w:themeColor="accent1" w:themeShade="BF"/>
      <w:szCs w:val="28"/>
      <w:lang w:val="vi-VN"/>
    </w:rPr>
  </w:style>
  <w:style w:type="character" w:customStyle="1" w:styleId="Heading4Char">
    <w:name w:val="Heading 4 Char"/>
    <w:basedOn w:val="DefaultParagraphFont"/>
    <w:link w:val="Heading4"/>
    <w:uiPriority w:val="9"/>
    <w:semiHidden/>
    <w:rsid w:val="00572E81"/>
    <w:rPr>
      <w:rFonts w:asciiTheme="majorHAnsi" w:eastAsiaTheme="majorEastAsia" w:hAnsiTheme="majorHAnsi" w:cstheme="majorBidi"/>
      <w:b/>
      <w:bCs/>
      <w:i/>
      <w:iCs/>
      <w:color w:val="5B9BD5" w:themeColor="accent1"/>
      <w:lang w:val="vi-VN"/>
    </w:rPr>
  </w:style>
  <w:style w:type="paragraph" w:customStyle="1" w:styleId="002">
    <w:name w:val="002"/>
    <w:basedOn w:val="Heading1"/>
    <w:qFormat/>
    <w:rsid w:val="00572E81"/>
    <w:pPr>
      <w:keepNext w:val="0"/>
      <w:keepLines w:val="0"/>
      <w:widowControl w:val="0"/>
      <w:spacing w:before="120" w:after="120" w:line="360" w:lineRule="auto"/>
      <w:jc w:val="both"/>
    </w:pPr>
    <w:rPr>
      <w:rFonts w:ascii="Times New Roman" w:eastAsia="Times New Roman" w:hAnsi="Times New Roman" w:cs="Times New Roman"/>
      <w:bCs w:val="0"/>
      <w:color w:val="auto"/>
      <w:sz w:val="26"/>
      <w:szCs w:val="26"/>
      <w:lang w:val="pt-BR"/>
    </w:rPr>
  </w:style>
  <w:style w:type="paragraph" w:customStyle="1" w:styleId="00HINH">
    <w:name w:val="00HINH"/>
    <w:basedOn w:val="Normal"/>
    <w:qFormat/>
    <w:rsid w:val="00572E81"/>
    <w:pPr>
      <w:autoSpaceDE w:val="0"/>
      <w:autoSpaceDN w:val="0"/>
      <w:adjustRightInd w:val="0"/>
      <w:spacing w:before="120" w:after="120" w:line="360" w:lineRule="auto"/>
      <w:jc w:val="center"/>
    </w:pPr>
    <w:rPr>
      <w:rFonts w:eastAsia="Times New Roman" w:cs="Times New Roman"/>
      <w:b/>
      <w:sz w:val="26"/>
      <w:szCs w:val="26"/>
    </w:rPr>
  </w:style>
  <w:style w:type="paragraph" w:customStyle="1" w:styleId="00BANG">
    <w:name w:val="00BANG"/>
    <w:basedOn w:val="Normal"/>
    <w:qFormat/>
    <w:rsid w:val="00572E81"/>
    <w:pPr>
      <w:spacing w:before="120" w:after="0" w:line="240" w:lineRule="auto"/>
      <w:jc w:val="center"/>
    </w:pPr>
    <w:rPr>
      <w:rFonts w:eastAsia="Times New Roman" w:cs="Times New Roman"/>
      <w:b/>
      <w:sz w:val="24"/>
      <w:szCs w:val="24"/>
    </w:rPr>
  </w:style>
  <w:style w:type="character" w:styleId="Strong">
    <w:name w:val="Strong"/>
    <w:uiPriority w:val="22"/>
    <w:qFormat/>
    <w:rsid w:val="00572E81"/>
    <w:rPr>
      <w:b/>
      <w:bCs/>
    </w:rPr>
  </w:style>
  <w:style w:type="table" w:styleId="TableGrid">
    <w:name w:val="Table Grid"/>
    <w:basedOn w:val="TableNormal"/>
    <w:uiPriority w:val="39"/>
    <w:rsid w:val="00572E81"/>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2E81"/>
    <w:rPr>
      <w:color w:val="808080"/>
    </w:rPr>
  </w:style>
  <w:style w:type="paragraph" w:customStyle="1" w:styleId="Default">
    <w:name w:val="Default"/>
    <w:rsid w:val="00572E81"/>
    <w:pPr>
      <w:autoSpaceDE w:val="0"/>
      <w:autoSpaceDN w:val="0"/>
      <w:adjustRightInd w:val="0"/>
      <w:spacing w:after="0" w:line="240" w:lineRule="auto"/>
    </w:pPr>
    <w:rPr>
      <w:rFonts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572E81"/>
    <w:pPr>
      <w:spacing w:after="200"/>
    </w:pPr>
    <w:rPr>
      <w:b/>
      <w:bCs/>
      <w:lang w:val="vi-VN"/>
    </w:rPr>
  </w:style>
  <w:style w:type="character" w:customStyle="1" w:styleId="CommentSubjectChar">
    <w:name w:val="Comment Subject Char"/>
    <w:basedOn w:val="CommentTextChar"/>
    <w:link w:val="CommentSubject"/>
    <w:uiPriority w:val="99"/>
    <w:semiHidden/>
    <w:rsid w:val="00572E81"/>
    <w:rPr>
      <w:b/>
      <w:bCs/>
      <w:sz w:val="20"/>
      <w:szCs w:val="20"/>
      <w:lang w:val="vi-VN"/>
    </w:rPr>
  </w:style>
  <w:style w:type="character" w:customStyle="1" w:styleId="Heading2Char">
    <w:name w:val="Heading 2 Char"/>
    <w:basedOn w:val="DefaultParagraphFont"/>
    <w:link w:val="Heading2"/>
    <w:uiPriority w:val="9"/>
    <w:rsid w:val="004B095A"/>
    <w:rPr>
      <w:rFonts w:asciiTheme="majorHAnsi" w:eastAsiaTheme="majorEastAsia" w:hAnsiTheme="majorHAnsi" w:cstheme="majorBidi"/>
      <w:b/>
      <w:bCs/>
      <w:color w:val="5B9BD5" w:themeColor="accent1"/>
      <w:sz w:val="26"/>
      <w:szCs w:val="26"/>
    </w:rPr>
  </w:style>
  <w:style w:type="character" w:customStyle="1" w:styleId="alt-edited">
    <w:name w:val="alt-edited"/>
    <w:basedOn w:val="DefaultParagraphFont"/>
    <w:rsid w:val="004B095A"/>
  </w:style>
  <w:style w:type="character" w:customStyle="1" w:styleId="tlid-translation">
    <w:name w:val="tlid-translation"/>
    <w:basedOn w:val="DefaultParagraphFont"/>
    <w:rsid w:val="004B0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F"/>
  </w:style>
  <w:style w:type="paragraph" w:styleId="Heading1">
    <w:name w:val="heading 1"/>
    <w:basedOn w:val="Normal"/>
    <w:next w:val="Normal"/>
    <w:link w:val="Heading1Char"/>
    <w:uiPriority w:val="9"/>
    <w:qFormat/>
    <w:rsid w:val="00572E81"/>
    <w:pPr>
      <w:keepNext/>
      <w:keepLines/>
      <w:spacing w:before="480" w:after="0" w:line="276" w:lineRule="auto"/>
      <w:outlineLvl w:val="0"/>
    </w:pPr>
    <w:rPr>
      <w:rFonts w:asciiTheme="majorHAnsi" w:eastAsiaTheme="majorEastAsia" w:hAnsiTheme="majorHAnsi" w:cstheme="majorBidi"/>
      <w:b/>
      <w:bCs/>
      <w:color w:val="2E74B5" w:themeColor="accent1" w:themeShade="BF"/>
      <w:szCs w:val="28"/>
      <w:lang w:val="vi-VN"/>
    </w:rPr>
  </w:style>
  <w:style w:type="paragraph" w:styleId="Heading2">
    <w:name w:val="heading 2"/>
    <w:basedOn w:val="Normal"/>
    <w:next w:val="Normal"/>
    <w:link w:val="Heading2Char"/>
    <w:uiPriority w:val="9"/>
    <w:unhideWhenUsed/>
    <w:qFormat/>
    <w:rsid w:val="004B095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572E81"/>
    <w:pPr>
      <w:keepNext/>
      <w:keepLines/>
      <w:spacing w:before="200" w:after="0" w:line="276" w:lineRule="auto"/>
      <w:outlineLvl w:val="3"/>
    </w:pPr>
    <w:rPr>
      <w:rFonts w:asciiTheme="majorHAnsi" w:eastAsiaTheme="majorEastAsia" w:hAnsiTheme="majorHAnsi" w:cstheme="majorBidi"/>
      <w:b/>
      <w:bCs/>
      <w:i/>
      <w:iCs/>
      <w:color w:val="5B9BD5"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3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FD"/>
  </w:style>
  <w:style w:type="paragraph" w:styleId="Header">
    <w:name w:val="header"/>
    <w:basedOn w:val="Normal"/>
    <w:link w:val="HeaderChar"/>
    <w:uiPriority w:val="99"/>
    <w:unhideWhenUsed/>
    <w:rsid w:val="00B93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FD"/>
  </w:style>
  <w:style w:type="paragraph" w:styleId="FootnoteText">
    <w:name w:val="footnote text"/>
    <w:basedOn w:val="Normal"/>
    <w:link w:val="FootnoteTextChar"/>
    <w:uiPriority w:val="99"/>
    <w:unhideWhenUsed/>
    <w:rsid w:val="00B93EFD"/>
    <w:pPr>
      <w:spacing w:after="0" w:line="240" w:lineRule="auto"/>
    </w:pPr>
    <w:rPr>
      <w:sz w:val="20"/>
      <w:szCs w:val="20"/>
    </w:rPr>
  </w:style>
  <w:style w:type="character" w:customStyle="1" w:styleId="FootnoteTextChar">
    <w:name w:val="Footnote Text Char"/>
    <w:basedOn w:val="DefaultParagraphFont"/>
    <w:link w:val="FootnoteText"/>
    <w:uiPriority w:val="99"/>
    <w:rsid w:val="00B93EFD"/>
    <w:rPr>
      <w:sz w:val="20"/>
      <w:szCs w:val="20"/>
    </w:rPr>
  </w:style>
  <w:style w:type="paragraph" w:styleId="CommentText">
    <w:name w:val="annotation text"/>
    <w:basedOn w:val="Normal"/>
    <w:link w:val="CommentTextChar"/>
    <w:uiPriority w:val="99"/>
    <w:semiHidden/>
    <w:unhideWhenUsed/>
    <w:rsid w:val="00B93EFD"/>
    <w:pPr>
      <w:spacing w:line="240" w:lineRule="auto"/>
    </w:pPr>
    <w:rPr>
      <w:sz w:val="20"/>
      <w:szCs w:val="20"/>
    </w:rPr>
  </w:style>
  <w:style w:type="character" w:customStyle="1" w:styleId="CommentTextChar">
    <w:name w:val="Comment Text Char"/>
    <w:basedOn w:val="DefaultParagraphFont"/>
    <w:link w:val="CommentText"/>
    <w:uiPriority w:val="99"/>
    <w:semiHidden/>
    <w:rsid w:val="00B93EFD"/>
    <w:rPr>
      <w:sz w:val="20"/>
      <w:szCs w:val="20"/>
    </w:rPr>
  </w:style>
  <w:style w:type="character" w:styleId="FootnoteReference">
    <w:name w:val="footnote reference"/>
    <w:aliases w:val="Footnote"/>
    <w:uiPriority w:val="99"/>
    <w:rsid w:val="00B93EFD"/>
    <w:rPr>
      <w:position w:val="0"/>
      <w:vertAlign w:val="superscript"/>
    </w:rPr>
  </w:style>
  <w:style w:type="paragraph" w:customStyle="1" w:styleId="image">
    <w:name w:val="image"/>
    <w:basedOn w:val="Normal"/>
    <w:next w:val="Normal"/>
    <w:rsid w:val="00B93EFD"/>
    <w:pPr>
      <w:overflowPunct w:val="0"/>
      <w:autoSpaceDE w:val="0"/>
      <w:autoSpaceDN w:val="0"/>
      <w:adjustRightInd w:val="0"/>
      <w:spacing w:before="240" w:after="120" w:line="240" w:lineRule="atLeast"/>
      <w:jc w:val="center"/>
      <w:textAlignment w:val="baseline"/>
    </w:pPr>
    <w:rPr>
      <w:rFonts w:eastAsia="Times New Roman" w:cs="Times New Roman"/>
      <w:sz w:val="20"/>
      <w:szCs w:val="20"/>
      <w:lang w:eastAsia="de-DE"/>
    </w:rPr>
  </w:style>
  <w:style w:type="character" w:styleId="CommentReference">
    <w:name w:val="annotation reference"/>
    <w:uiPriority w:val="99"/>
    <w:unhideWhenUsed/>
    <w:rsid w:val="00B93EFD"/>
    <w:rPr>
      <w:sz w:val="16"/>
      <w:szCs w:val="16"/>
    </w:rPr>
  </w:style>
  <w:style w:type="paragraph" w:styleId="BalloonText">
    <w:name w:val="Balloon Text"/>
    <w:basedOn w:val="Normal"/>
    <w:link w:val="BalloonTextChar"/>
    <w:uiPriority w:val="99"/>
    <w:semiHidden/>
    <w:unhideWhenUsed/>
    <w:rsid w:val="0087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E6"/>
    <w:rPr>
      <w:rFonts w:ascii="Tahoma" w:hAnsi="Tahoma" w:cs="Tahoma"/>
      <w:sz w:val="16"/>
      <w:szCs w:val="16"/>
    </w:rPr>
  </w:style>
  <w:style w:type="character" w:styleId="Hyperlink">
    <w:name w:val="Hyperlink"/>
    <w:basedOn w:val="DefaultParagraphFont"/>
    <w:uiPriority w:val="99"/>
    <w:unhideWhenUsed/>
    <w:rsid w:val="008D257A"/>
    <w:rPr>
      <w:color w:val="0563C1" w:themeColor="hyperlink"/>
      <w:u w:val="single"/>
    </w:rPr>
  </w:style>
  <w:style w:type="paragraph" w:styleId="ListParagraph">
    <w:name w:val="List Paragraph"/>
    <w:basedOn w:val="Normal"/>
    <w:uiPriority w:val="34"/>
    <w:qFormat/>
    <w:rsid w:val="001A2B1D"/>
    <w:pPr>
      <w:ind w:left="720"/>
      <w:contextualSpacing/>
    </w:pPr>
  </w:style>
  <w:style w:type="paragraph" w:styleId="Subtitle">
    <w:name w:val="Subtitle"/>
    <w:basedOn w:val="Normal"/>
    <w:next w:val="Normal"/>
    <w:link w:val="SubtitleChar"/>
    <w:uiPriority w:val="11"/>
    <w:qFormat/>
    <w:rsid w:val="006843B7"/>
    <w:pPr>
      <w:numPr>
        <w:ilvl w:val="1"/>
      </w:numPr>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843B7"/>
    <w:rPr>
      <w:rFonts w:asciiTheme="majorHAnsi" w:eastAsiaTheme="majorEastAsia" w:hAnsiTheme="majorHAnsi" w:cstheme="majorBidi"/>
      <w:i/>
      <w:iCs/>
      <w:color w:val="5B9BD5" w:themeColor="accent1"/>
      <w:spacing w:val="15"/>
      <w:sz w:val="24"/>
      <w:szCs w:val="24"/>
    </w:rPr>
  </w:style>
  <w:style w:type="paragraph" w:styleId="NoSpacing">
    <w:name w:val="No Spacing"/>
    <w:uiPriority w:val="1"/>
    <w:qFormat/>
    <w:rsid w:val="006843B7"/>
    <w:pPr>
      <w:spacing w:after="0" w:line="240" w:lineRule="auto"/>
      <w:ind w:firstLine="720"/>
      <w:jc w:val="both"/>
    </w:pPr>
    <w:rPr>
      <w:rFonts w:eastAsia="SimSun" w:cs="Times New Roman"/>
      <w:sz w:val="24"/>
      <w:szCs w:val="20"/>
      <w:lang w:val="en-GB"/>
    </w:rPr>
  </w:style>
  <w:style w:type="paragraph" w:styleId="NormalWeb">
    <w:name w:val="Normal (Web)"/>
    <w:basedOn w:val="Normal"/>
    <w:link w:val="NormalWebChar"/>
    <w:uiPriority w:val="99"/>
    <w:unhideWhenUsed/>
    <w:rsid w:val="00335156"/>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locked/>
    <w:rsid w:val="00335156"/>
    <w:rPr>
      <w:rFonts w:eastAsia="Times New Roman" w:cs="Times New Roman"/>
      <w:sz w:val="24"/>
      <w:szCs w:val="24"/>
    </w:rPr>
  </w:style>
  <w:style w:type="character" w:customStyle="1" w:styleId="Heading1Char">
    <w:name w:val="Heading 1 Char"/>
    <w:basedOn w:val="DefaultParagraphFont"/>
    <w:link w:val="Heading1"/>
    <w:uiPriority w:val="9"/>
    <w:rsid w:val="00572E81"/>
    <w:rPr>
      <w:rFonts w:asciiTheme="majorHAnsi" w:eastAsiaTheme="majorEastAsia" w:hAnsiTheme="majorHAnsi" w:cstheme="majorBidi"/>
      <w:b/>
      <w:bCs/>
      <w:color w:val="2E74B5" w:themeColor="accent1" w:themeShade="BF"/>
      <w:szCs w:val="28"/>
      <w:lang w:val="vi-VN"/>
    </w:rPr>
  </w:style>
  <w:style w:type="character" w:customStyle="1" w:styleId="Heading4Char">
    <w:name w:val="Heading 4 Char"/>
    <w:basedOn w:val="DefaultParagraphFont"/>
    <w:link w:val="Heading4"/>
    <w:uiPriority w:val="9"/>
    <w:semiHidden/>
    <w:rsid w:val="00572E81"/>
    <w:rPr>
      <w:rFonts w:asciiTheme="majorHAnsi" w:eastAsiaTheme="majorEastAsia" w:hAnsiTheme="majorHAnsi" w:cstheme="majorBidi"/>
      <w:b/>
      <w:bCs/>
      <w:i/>
      <w:iCs/>
      <w:color w:val="5B9BD5" w:themeColor="accent1"/>
      <w:lang w:val="vi-VN"/>
    </w:rPr>
  </w:style>
  <w:style w:type="paragraph" w:customStyle="1" w:styleId="002">
    <w:name w:val="002"/>
    <w:basedOn w:val="Heading1"/>
    <w:qFormat/>
    <w:rsid w:val="00572E81"/>
    <w:pPr>
      <w:keepNext w:val="0"/>
      <w:keepLines w:val="0"/>
      <w:widowControl w:val="0"/>
      <w:spacing w:before="120" w:after="120" w:line="360" w:lineRule="auto"/>
      <w:jc w:val="both"/>
    </w:pPr>
    <w:rPr>
      <w:rFonts w:ascii="Times New Roman" w:eastAsia="Times New Roman" w:hAnsi="Times New Roman" w:cs="Times New Roman"/>
      <w:bCs w:val="0"/>
      <w:color w:val="auto"/>
      <w:sz w:val="26"/>
      <w:szCs w:val="26"/>
      <w:lang w:val="pt-BR"/>
    </w:rPr>
  </w:style>
  <w:style w:type="paragraph" w:customStyle="1" w:styleId="00HINH">
    <w:name w:val="00HINH"/>
    <w:basedOn w:val="Normal"/>
    <w:qFormat/>
    <w:rsid w:val="00572E81"/>
    <w:pPr>
      <w:autoSpaceDE w:val="0"/>
      <w:autoSpaceDN w:val="0"/>
      <w:adjustRightInd w:val="0"/>
      <w:spacing w:before="120" w:after="120" w:line="360" w:lineRule="auto"/>
      <w:jc w:val="center"/>
    </w:pPr>
    <w:rPr>
      <w:rFonts w:eastAsia="Times New Roman" w:cs="Times New Roman"/>
      <w:b/>
      <w:sz w:val="26"/>
      <w:szCs w:val="26"/>
    </w:rPr>
  </w:style>
  <w:style w:type="paragraph" w:customStyle="1" w:styleId="00BANG">
    <w:name w:val="00BANG"/>
    <w:basedOn w:val="Normal"/>
    <w:qFormat/>
    <w:rsid w:val="00572E81"/>
    <w:pPr>
      <w:spacing w:before="120" w:after="0" w:line="240" w:lineRule="auto"/>
      <w:jc w:val="center"/>
    </w:pPr>
    <w:rPr>
      <w:rFonts w:eastAsia="Times New Roman" w:cs="Times New Roman"/>
      <w:b/>
      <w:sz w:val="24"/>
      <w:szCs w:val="24"/>
    </w:rPr>
  </w:style>
  <w:style w:type="character" w:styleId="Strong">
    <w:name w:val="Strong"/>
    <w:uiPriority w:val="22"/>
    <w:qFormat/>
    <w:rsid w:val="00572E81"/>
    <w:rPr>
      <w:b/>
      <w:bCs/>
    </w:rPr>
  </w:style>
  <w:style w:type="table" w:styleId="TableGrid">
    <w:name w:val="Table Grid"/>
    <w:basedOn w:val="TableNormal"/>
    <w:uiPriority w:val="39"/>
    <w:rsid w:val="00572E81"/>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2E81"/>
    <w:rPr>
      <w:color w:val="808080"/>
    </w:rPr>
  </w:style>
  <w:style w:type="paragraph" w:customStyle="1" w:styleId="Default">
    <w:name w:val="Default"/>
    <w:rsid w:val="00572E81"/>
    <w:pPr>
      <w:autoSpaceDE w:val="0"/>
      <w:autoSpaceDN w:val="0"/>
      <w:adjustRightInd w:val="0"/>
      <w:spacing w:after="0" w:line="240" w:lineRule="auto"/>
    </w:pPr>
    <w:rPr>
      <w:rFonts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572E81"/>
    <w:pPr>
      <w:spacing w:after="200"/>
    </w:pPr>
    <w:rPr>
      <w:b/>
      <w:bCs/>
      <w:lang w:val="vi-VN"/>
    </w:rPr>
  </w:style>
  <w:style w:type="character" w:customStyle="1" w:styleId="CommentSubjectChar">
    <w:name w:val="Comment Subject Char"/>
    <w:basedOn w:val="CommentTextChar"/>
    <w:link w:val="CommentSubject"/>
    <w:uiPriority w:val="99"/>
    <w:semiHidden/>
    <w:rsid w:val="00572E81"/>
    <w:rPr>
      <w:b/>
      <w:bCs/>
      <w:sz w:val="20"/>
      <w:szCs w:val="20"/>
      <w:lang w:val="vi-VN"/>
    </w:rPr>
  </w:style>
  <w:style w:type="character" w:customStyle="1" w:styleId="Heading2Char">
    <w:name w:val="Heading 2 Char"/>
    <w:basedOn w:val="DefaultParagraphFont"/>
    <w:link w:val="Heading2"/>
    <w:uiPriority w:val="9"/>
    <w:rsid w:val="004B095A"/>
    <w:rPr>
      <w:rFonts w:asciiTheme="majorHAnsi" w:eastAsiaTheme="majorEastAsia" w:hAnsiTheme="majorHAnsi" w:cstheme="majorBidi"/>
      <w:b/>
      <w:bCs/>
      <w:color w:val="5B9BD5" w:themeColor="accent1"/>
      <w:sz w:val="26"/>
      <w:szCs w:val="26"/>
    </w:rPr>
  </w:style>
  <w:style w:type="character" w:customStyle="1" w:styleId="alt-edited">
    <w:name w:val="alt-edited"/>
    <w:basedOn w:val="DefaultParagraphFont"/>
    <w:rsid w:val="004B095A"/>
  </w:style>
  <w:style w:type="character" w:customStyle="1" w:styleId="tlid-translation">
    <w:name w:val="tlid-translation"/>
    <w:basedOn w:val="DefaultParagraphFont"/>
    <w:rsid w:val="004B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C2EF-620C-4109-BFC2-EACEC4AE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6121</Words>
  <Characters>34895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2020-12-09T03:17:00Z</cp:lastPrinted>
  <dcterms:created xsi:type="dcterms:W3CDTF">2020-12-10T08:02:00Z</dcterms:created>
  <dcterms:modified xsi:type="dcterms:W3CDTF">2020-12-10T08:24:00Z</dcterms:modified>
</cp:coreProperties>
</file>