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A8816" w14:textId="77777777" w:rsidR="00E86216" w:rsidRPr="00E86216" w:rsidRDefault="00E86216" w:rsidP="00702FD4">
      <w:pPr>
        <w:rPr>
          <w:b/>
          <w:sz w:val="36"/>
          <w:szCs w:val="36"/>
        </w:rPr>
      </w:pPr>
      <w:commentRangeStart w:id="0"/>
      <w:r w:rsidRPr="00E86216">
        <w:rPr>
          <w:b/>
          <w:sz w:val="36"/>
          <w:szCs w:val="36"/>
        </w:rPr>
        <w:t>Assessment of Information Technology Use Competence for Teachers: Identifying and Applying the Information Technology Competence Framework in Online Teaching</w:t>
      </w:r>
      <w:commentRangeEnd w:id="0"/>
      <w:r w:rsidR="004614D2">
        <w:rPr>
          <w:rStyle w:val="CommentReference"/>
        </w:rPr>
        <w:commentReference w:id="0"/>
      </w:r>
    </w:p>
    <w:p w14:paraId="1E73A6EF" w14:textId="77777777" w:rsidR="00103E9F" w:rsidRPr="00A05D8F" w:rsidRDefault="00103E9F" w:rsidP="00103E9F">
      <w:pPr>
        <w:jc w:val="center"/>
        <w:rPr>
          <w:sz w:val="32"/>
          <w:lang w:val="en-GB"/>
        </w:rPr>
      </w:pPr>
    </w:p>
    <w:p w14:paraId="55D7EAE0" w14:textId="77777777" w:rsidR="004D3882" w:rsidRPr="00A05D8F" w:rsidRDefault="004D3882" w:rsidP="00103E9F">
      <w:pPr>
        <w:rPr>
          <w:lang w:val="en-GB"/>
        </w:rPr>
      </w:pPr>
    </w:p>
    <w:p w14:paraId="575A7B39" w14:textId="77777777" w:rsidR="000025E7" w:rsidRPr="00A05D8F" w:rsidRDefault="000025E7" w:rsidP="00103E9F">
      <w:pPr>
        <w:rPr>
          <w:lang w:val="en-GB"/>
        </w:rPr>
      </w:pPr>
      <w:r w:rsidRPr="00A05D8F">
        <w:rPr>
          <w:lang w:val="en-GB"/>
        </w:rPr>
        <w:t xml:space="preserve">DOI: </w:t>
      </w:r>
      <w:r w:rsidR="00A810FE" w:rsidRPr="00A05D8F">
        <w:rPr>
          <w:lang w:val="en-GB"/>
        </w:rPr>
        <w:t>https://doi.org/10.30880/jtet</w:t>
      </w:r>
      <w:r w:rsidR="004D3882" w:rsidRPr="00A05D8F">
        <w:rPr>
          <w:lang w:val="en-GB"/>
        </w:rPr>
        <w:t>.00.00</w:t>
      </w:r>
      <w:r w:rsidRPr="00A05D8F">
        <w:rPr>
          <w:lang w:val="en-GB"/>
        </w:rPr>
        <w:t>.</w:t>
      </w:r>
      <w:r w:rsidR="004D3882" w:rsidRPr="00A05D8F">
        <w:rPr>
          <w:lang w:val="en-GB"/>
        </w:rPr>
        <w:t>0000</w:t>
      </w:r>
      <w:r w:rsidRPr="00A05D8F">
        <w:rPr>
          <w:lang w:val="en-GB"/>
        </w:rPr>
        <w:t>.</w:t>
      </w:r>
      <w:r w:rsidR="004D3882" w:rsidRPr="00A05D8F">
        <w:rPr>
          <w:lang w:val="en-GB"/>
        </w:rPr>
        <w:t>00</w:t>
      </w:r>
      <w:r w:rsidRPr="00A05D8F">
        <w:rPr>
          <w:lang w:val="en-GB"/>
        </w:rPr>
        <w:t>.</w:t>
      </w:r>
      <w:r w:rsidR="004D3882" w:rsidRPr="00A05D8F">
        <w:rPr>
          <w:lang w:val="en-GB"/>
        </w:rPr>
        <w:t>0000</w:t>
      </w:r>
    </w:p>
    <w:p w14:paraId="45363078" w14:textId="77777777" w:rsidR="00B85A31" w:rsidRPr="00A05D8F" w:rsidRDefault="000C342A" w:rsidP="00103E9F">
      <w:pPr>
        <w:rPr>
          <w:lang w:val="en-GB"/>
        </w:rPr>
      </w:pPr>
      <w:r>
        <w:rPr>
          <w:b/>
          <w:noProof/>
          <w:lang w:val="en-MY" w:eastAsia="en-MY"/>
        </w:rPr>
        <mc:AlternateContent>
          <mc:Choice Requires="wps">
            <w:drawing>
              <wp:anchor distT="0" distB="0" distL="114300" distR="114300" simplePos="0" relativeHeight="251657728" behindDoc="0" locked="0" layoutInCell="1" allowOverlap="1" wp14:anchorId="3D22915E" wp14:editId="722F9292">
                <wp:simplePos x="0" y="0"/>
                <wp:positionH relativeFrom="column">
                  <wp:posOffset>-1270</wp:posOffset>
                </wp:positionH>
                <wp:positionV relativeFrom="paragraph">
                  <wp:posOffset>260350</wp:posOffset>
                </wp:positionV>
                <wp:extent cx="6057900" cy="1860550"/>
                <wp:effectExtent l="0" t="0" r="0" b="635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605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E1DB" w14:textId="77777777" w:rsidR="003B1EAA" w:rsidRDefault="003B1EAA" w:rsidP="00B85A31">
                            <w:pPr>
                              <w:tabs>
                                <w:tab w:val="left" w:pos="240"/>
                              </w:tabs>
                              <w:jc w:val="both"/>
                              <w:rPr>
                                <w:szCs w:val="22"/>
                              </w:rPr>
                            </w:pPr>
                            <w:r w:rsidRPr="00994BD8">
                              <w:rPr>
                                <w:b/>
                                <w:szCs w:val="22"/>
                              </w:rPr>
                              <w:t>Abstract:</w:t>
                            </w:r>
                            <w:r>
                              <w:rPr>
                                <w:szCs w:val="22"/>
                              </w:rPr>
                              <w:t xml:space="preserve"> </w:t>
                            </w:r>
                            <w:r w:rsidRPr="00E54416">
                              <w:t>This paper proposes a theoretical framework as a foundation for building information technology competence framework and the requirements for using information technology competence of teachers in online teaching at training institutions. The parameters in this paper survey was conducted on sample space (n = 342) and 42 expert opinions to identify information technology competence framework with criteria and skill sets necessaries to successfully organize online teaching. This paper discusses on teaching developing information technology competence to change minds and develop teachers' competency to meet the online teaching trend of the digitalization today. So, building information technology competence framework in online teaching has many meanings in training process contribute to improving the learning capacity of student</w:t>
                            </w:r>
                            <w:r>
                              <w:t>s</w:t>
                            </w:r>
                            <w:r>
                              <w:rPr>
                                <w:szCs w:val="22"/>
                              </w:rPr>
                              <w:t>.</w:t>
                            </w:r>
                          </w:p>
                          <w:p w14:paraId="7A485344" w14:textId="77777777" w:rsidR="003B1EAA" w:rsidRDefault="003B1EAA" w:rsidP="00994BD8">
                            <w:pPr>
                              <w:tabs>
                                <w:tab w:val="left" w:pos="615"/>
                              </w:tabs>
                              <w:spacing w:before="120" w:after="120"/>
                              <w:jc w:val="both"/>
                              <w:rPr>
                                <w:b/>
                                <w:iCs/>
                                <w:szCs w:val="20"/>
                              </w:rPr>
                            </w:pPr>
                          </w:p>
                          <w:p w14:paraId="43AF4732" w14:textId="77777777" w:rsidR="003B1EAA" w:rsidRPr="00E304BC" w:rsidRDefault="003B1EAA" w:rsidP="00994BD8">
                            <w:pPr>
                              <w:tabs>
                                <w:tab w:val="left" w:pos="615"/>
                              </w:tabs>
                              <w:spacing w:before="120" w:after="120"/>
                              <w:jc w:val="both"/>
                              <w:rPr>
                                <w:szCs w:val="22"/>
                              </w:rPr>
                            </w:pPr>
                            <w:r w:rsidRPr="00994BD8">
                              <w:rPr>
                                <w:b/>
                                <w:iCs/>
                                <w:szCs w:val="20"/>
                              </w:rPr>
                              <w:t>Keywords:</w:t>
                            </w:r>
                            <w:r>
                              <w:rPr>
                                <w:iCs/>
                                <w:szCs w:val="22"/>
                              </w:rPr>
                              <w:t xml:space="preserve"> </w:t>
                            </w:r>
                            <w:r w:rsidRPr="000345AB">
                              <w:t xml:space="preserve">Information Technology </w:t>
                            </w:r>
                            <w:proofErr w:type="gramStart"/>
                            <w:r w:rsidRPr="000345AB">
                              <w:t>In</w:t>
                            </w:r>
                            <w:proofErr w:type="gramEnd"/>
                            <w:r w:rsidRPr="000345AB">
                              <w:t xml:space="preserve"> Education, Information Technology Competence, Assessment Competence, Digital Literacy, Online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2915E" id="_x0000_t202" coordsize="21600,21600" o:spt="202" path="m,l,21600r21600,l21600,xe">
                <v:stroke joinstyle="miter"/>
                <v:path gradientshapeok="t" o:connecttype="rect"/>
              </v:shapetype>
              <v:shape id="Text Box 8" o:spid="_x0000_s1026" type="#_x0000_t202" style="position:absolute;margin-left:-.1pt;margin-top:20.5pt;width:477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" fillcolor="#ddd" stroked="f">
                <v:textbox>
                  <w:txbxContent>
                    <w:p w14:paraId="36BFE1DB" w14:textId="77777777" w:rsidR="003B1EAA" w:rsidRDefault="003B1EAA" w:rsidP="00B85A31">
                      <w:pPr>
                        <w:tabs>
                          <w:tab w:val="left" w:pos="240"/>
                        </w:tabs>
                        <w:jc w:val="both"/>
                        <w:rPr>
                          <w:szCs w:val="22"/>
                        </w:rPr>
                      </w:pPr>
                      <w:r w:rsidRPr="00994BD8">
                        <w:rPr>
                          <w:b/>
                          <w:szCs w:val="22"/>
                        </w:rPr>
                        <w:t>Abstract:</w:t>
                      </w:r>
                      <w:r>
                        <w:rPr>
                          <w:szCs w:val="22"/>
                        </w:rPr>
                        <w:t xml:space="preserve"> </w:t>
                      </w:r>
                      <w:r w:rsidRPr="00E54416">
                        <w:t>This paper proposes a theoretical framework as a foundation for building information technology competence framework and the requirements for using information technology competence of teachers in online teaching at training institutions. The parameters in this paper survey was conducted on sample space (n = 342) and 42 expert opinions to identify information technology competence framework with criteria and skill sets necessaries to successfully organize online teaching. This paper discusses on teaching developing information technology competence to change minds and develop teachers' competency to meet the online teaching trend of the digitalization today. So, building information technology competence framework in online teaching has many meanings in training process contribute to improving the learning capacity of student</w:t>
                      </w:r>
                      <w:r>
                        <w:t>s</w:t>
                      </w:r>
                      <w:r>
                        <w:rPr>
                          <w:szCs w:val="22"/>
                        </w:rPr>
                        <w:t>.</w:t>
                      </w:r>
                    </w:p>
                    <w:p w14:paraId="7A485344" w14:textId="77777777" w:rsidR="003B1EAA" w:rsidRDefault="003B1EAA" w:rsidP="00994BD8">
                      <w:pPr>
                        <w:tabs>
                          <w:tab w:val="left" w:pos="615"/>
                        </w:tabs>
                        <w:spacing w:before="120" w:after="120"/>
                        <w:jc w:val="both"/>
                        <w:rPr>
                          <w:b/>
                          <w:iCs/>
                          <w:szCs w:val="20"/>
                        </w:rPr>
                      </w:pPr>
                    </w:p>
                    <w:p w14:paraId="43AF4732" w14:textId="77777777" w:rsidR="003B1EAA" w:rsidRPr="00E304BC" w:rsidRDefault="003B1EAA" w:rsidP="00994BD8">
                      <w:pPr>
                        <w:tabs>
                          <w:tab w:val="left" w:pos="615"/>
                        </w:tabs>
                        <w:spacing w:before="120" w:after="120"/>
                        <w:jc w:val="both"/>
                        <w:rPr>
                          <w:szCs w:val="22"/>
                        </w:rPr>
                      </w:pPr>
                      <w:r w:rsidRPr="00994BD8">
                        <w:rPr>
                          <w:b/>
                          <w:iCs/>
                          <w:szCs w:val="20"/>
                        </w:rPr>
                        <w:t>Keywords:</w:t>
                      </w:r>
                      <w:r>
                        <w:rPr>
                          <w:iCs/>
                          <w:szCs w:val="22"/>
                        </w:rPr>
                        <w:t xml:space="preserve"> </w:t>
                      </w:r>
                      <w:r w:rsidRPr="000345AB">
                        <w:t xml:space="preserve">Information Technology </w:t>
                      </w:r>
                      <w:proofErr w:type="gramStart"/>
                      <w:r w:rsidRPr="000345AB">
                        <w:t>In</w:t>
                      </w:r>
                      <w:proofErr w:type="gramEnd"/>
                      <w:r w:rsidRPr="000345AB">
                        <w:t xml:space="preserve"> Education, Information Technology Competence, Assessment Competence, Digital Literacy, Online Teaching</w:t>
                      </w:r>
                    </w:p>
                  </w:txbxContent>
                </v:textbox>
                <w10:wrap type="square"/>
              </v:shape>
            </w:pict>
          </mc:Fallback>
        </mc:AlternateContent>
      </w:r>
      <w:r w:rsidR="00103E9F" w:rsidRPr="00A05D8F">
        <w:rPr>
          <w:lang w:val="en-GB"/>
        </w:rPr>
        <w:t xml:space="preserve">Received </w:t>
      </w:r>
      <w:r w:rsidR="004D3882" w:rsidRPr="00A05D8F">
        <w:rPr>
          <w:lang w:val="en-GB"/>
        </w:rPr>
        <w:t>00</w:t>
      </w:r>
      <w:r w:rsidR="00FB2CEF" w:rsidRPr="00A05D8F">
        <w:rPr>
          <w:lang w:val="en-GB"/>
        </w:rPr>
        <w:t xml:space="preserve"> </w:t>
      </w:r>
      <w:r w:rsidR="004D3882" w:rsidRPr="00A05D8F">
        <w:rPr>
          <w:lang w:val="en-GB"/>
        </w:rPr>
        <w:t>Month</w:t>
      </w:r>
      <w:r w:rsidR="00103E9F" w:rsidRPr="00A05D8F">
        <w:rPr>
          <w:lang w:val="en-GB"/>
        </w:rPr>
        <w:t xml:space="preserve"> 20</w:t>
      </w:r>
      <w:r w:rsidR="004D3882" w:rsidRPr="00A05D8F">
        <w:rPr>
          <w:lang w:val="en-GB"/>
        </w:rPr>
        <w:t>00; A</w:t>
      </w:r>
      <w:r w:rsidR="00103E9F" w:rsidRPr="00A05D8F">
        <w:rPr>
          <w:lang w:val="en-GB"/>
        </w:rPr>
        <w:t xml:space="preserve">ccepted </w:t>
      </w:r>
      <w:r w:rsidR="004D3882" w:rsidRPr="00A05D8F">
        <w:rPr>
          <w:lang w:val="en-GB"/>
        </w:rPr>
        <w:t>01</w:t>
      </w:r>
      <w:r w:rsidR="00103E9F" w:rsidRPr="00A05D8F">
        <w:rPr>
          <w:lang w:val="en-GB"/>
        </w:rPr>
        <w:t xml:space="preserve"> </w:t>
      </w:r>
      <w:r w:rsidR="004D3882" w:rsidRPr="00A05D8F">
        <w:rPr>
          <w:lang w:val="en-GB"/>
        </w:rPr>
        <w:t>Mon</w:t>
      </w:r>
      <w:r w:rsidR="00FB2CEF" w:rsidRPr="00A05D8F">
        <w:rPr>
          <w:lang w:val="en-GB"/>
        </w:rPr>
        <w:t>t</w:t>
      </w:r>
      <w:r w:rsidR="004D3882" w:rsidRPr="00A05D8F">
        <w:rPr>
          <w:lang w:val="en-GB"/>
        </w:rPr>
        <w:t>h</w:t>
      </w:r>
      <w:r w:rsidR="00103E9F" w:rsidRPr="00A05D8F">
        <w:rPr>
          <w:lang w:val="en-GB"/>
        </w:rPr>
        <w:t xml:space="preserve"> 20</w:t>
      </w:r>
      <w:r w:rsidR="004D3882" w:rsidRPr="00A05D8F">
        <w:rPr>
          <w:lang w:val="en-GB"/>
        </w:rPr>
        <w:t>00; A</w:t>
      </w:r>
      <w:r w:rsidR="00103E9F" w:rsidRPr="00A05D8F">
        <w:rPr>
          <w:lang w:val="en-GB"/>
        </w:rPr>
        <w:t xml:space="preserve">vailable online </w:t>
      </w:r>
      <w:r w:rsidR="004D3882" w:rsidRPr="00A05D8F">
        <w:rPr>
          <w:lang w:val="en-GB"/>
        </w:rPr>
        <w:t>0</w:t>
      </w:r>
      <w:r w:rsidR="00FB2CEF" w:rsidRPr="00A05D8F">
        <w:rPr>
          <w:lang w:val="en-GB"/>
        </w:rPr>
        <w:t xml:space="preserve">2 </w:t>
      </w:r>
      <w:r w:rsidR="004D3882" w:rsidRPr="00A05D8F">
        <w:rPr>
          <w:lang w:val="en-GB"/>
        </w:rPr>
        <w:t>Month 2000</w:t>
      </w:r>
      <w:bookmarkStart w:id="1" w:name="_GoBack"/>
      <w:bookmarkEnd w:id="1"/>
    </w:p>
    <w:p w14:paraId="4AEE419C" w14:textId="77777777" w:rsidR="00103E9F" w:rsidRPr="00A05D8F" w:rsidRDefault="00103E9F" w:rsidP="00994BD8">
      <w:pPr>
        <w:spacing w:before="120" w:after="120"/>
        <w:jc w:val="center"/>
        <w:rPr>
          <w:b/>
          <w:szCs w:val="20"/>
          <w:lang w:val="en-GB" w:eastAsia="ja-JP"/>
        </w:rPr>
      </w:pPr>
    </w:p>
    <w:p w14:paraId="3157EB98" w14:textId="77777777" w:rsidR="00103E9F" w:rsidRPr="00A05D8F" w:rsidRDefault="00103E9F" w:rsidP="00FB2CEF">
      <w:pPr>
        <w:spacing w:before="120" w:after="120"/>
        <w:rPr>
          <w:b/>
          <w:szCs w:val="20"/>
          <w:lang w:val="en-GB" w:eastAsia="ja-JP"/>
        </w:rPr>
        <w:sectPr w:rsidR="00103E9F" w:rsidRPr="00A05D8F" w:rsidSect="00E304BC">
          <w:headerReference w:type="even" r:id="rId10"/>
          <w:headerReference w:type="default" r:id="rId11"/>
          <w:footerReference w:type="even" r:id="rId12"/>
          <w:footerReference w:type="default" r:id="rId13"/>
          <w:headerReference w:type="first" r:id="rId14"/>
          <w:footerReference w:type="first" r:id="rId15"/>
          <w:pgSz w:w="11909" w:h="16834" w:code="9"/>
          <w:pgMar w:top="1440" w:right="1152" w:bottom="1440" w:left="1152" w:header="720" w:footer="720" w:gutter="0"/>
          <w:cols w:space="720"/>
          <w:titlePg/>
          <w:docGrid w:linePitch="360"/>
        </w:sectPr>
      </w:pPr>
    </w:p>
    <w:p w14:paraId="14F5EB9B" w14:textId="77777777" w:rsidR="00D85BAA" w:rsidRPr="00A05D8F" w:rsidRDefault="00D85BAA" w:rsidP="000B3D59">
      <w:pPr>
        <w:pStyle w:val="Heading1"/>
        <w:keepLines/>
        <w:rPr>
          <w:lang w:val="en-GB"/>
        </w:rPr>
      </w:pPr>
      <w:r w:rsidRPr="00A05D8F">
        <w:rPr>
          <w:lang w:val="en-GB"/>
        </w:rPr>
        <w:lastRenderedPageBreak/>
        <w:t>Introduction</w:t>
      </w:r>
      <w:r w:rsidR="003A4903" w:rsidRPr="00A05D8F">
        <w:rPr>
          <w:lang w:val="en-GB"/>
        </w:rPr>
        <w:t xml:space="preserve"> </w:t>
      </w:r>
    </w:p>
    <w:p w14:paraId="395C546E" w14:textId="77777777" w:rsidR="00A00D0F" w:rsidRPr="00711FB9" w:rsidRDefault="00A00D0F" w:rsidP="00A00D0F">
      <w:pPr>
        <w:jc w:val="both"/>
        <w:rPr>
          <w:szCs w:val="22"/>
        </w:rPr>
      </w:pPr>
      <w:commentRangeStart w:id="2"/>
      <w:r w:rsidRPr="00711FB9">
        <w:rPr>
          <w:szCs w:val="22"/>
        </w:rPr>
        <w:t>In today digital world, in addition to the basic applying information technology (IT) in teaching, the identification of criteria and the demand for using of IT competence in online teaching are indispensable trend in education. Many research results show that the integration of technology has many benefits for both teachers and students in the teaching process. By studying the impact of applying IT competence in teaching through analyzing and compiling information from many related scientific publications conducted in different countries, the authors give that IT application enhances cognitive ability, self-learning ability of students (Bennett, J., et al, 2006). Therefore, the teachers needing the IT competence to improve the quality of teaching activities of themselves can shape and develop IT competence for students through training.</w:t>
      </w:r>
      <w:commentRangeEnd w:id="2"/>
      <w:r w:rsidR="004614D2">
        <w:rPr>
          <w:rStyle w:val="CommentReference"/>
        </w:rPr>
        <w:commentReference w:id="2"/>
      </w:r>
    </w:p>
    <w:p w14:paraId="261FBF81" w14:textId="77777777" w:rsidR="00A00D0F" w:rsidRPr="00711FB9" w:rsidRDefault="00A00D0F" w:rsidP="006C0762">
      <w:pPr>
        <w:ind w:firstLine="357"/>
        <w:jc w:val="both"/>
        <w:rPr>
          <w:szCs w:val="22"/>
          <w:lang w:val="vi-VN"/>
        </w:rPr>
      </w:pPr>
      <w:r w:rsidRPr="00711FB9">
        <w:rPr>
          <w:szCs w:val="22"/>
        </w:rPr>
        <w:t xml:space="preserve">The research was developed and distributed to experienced online teachers to assess the importance of online teaching tasks with a 7-point Likert measuring tool (Paula </w:t>
      </w:r>
      <w:proofErr w:type="spellStart"/>
      <w:r w:rsidRPr="00711FB9">
        <w:rPr>
          <w:szCs w:val="22"/>
        </w:rPr>
        <w:t>Bigatel</w:t>
      </w:r>
      <w:proofErr w:type="spellEnd"/>
      <w:r w:rsidRPr="00711FB9">
        <w:rPr>
          <w:szCs w:val="22"/>
        </w:rPr>
        <w:t>, et al, 2010). Effective online course development depends on: 1) course content is well</w:t>
      </w:r>
      <w:r w:rsidRPr="00711FB9">
        <w:rPr>
          <w:szCs w:val="22"/>
          <w:lang w:val="vi-VN"/>
        </w:rPr>
        <w:t xml:space="preserve"> design</w:t>
      </w:r>
      <w:proofErr w:type="spellStart"/>
      <w:r w:rsidRPr="00711FB9">
        <w:rPr>
          <w:szCs w:val="22"/>
        </w:rPr>
        <w:t>ed</w:t>
      </w:r>
      <w:proofErr w:type="spellEnd"/>
      <w:r w:rsidRPr="00711FB9">
        <w:rPr>
          <w:szCs w:val="22"/>
          <w:lang w:val="vi-VN"/>
        </w:rPr>
        <w:t xml:space="preserve"> the interaction between teachers and learners is good, and the teachers are well prepared and fully supported; 2) creating a sense of online learning community; and 3) the rapid advancement of technology </w:t>
      </w:r>
      <w:r w:rsidRPr="00711FB9">
        <w:rPr>
          <w:szCs w:val="22"/>
        </w:rPr>
        <w:t>(Sun, A., &amp; Chen, X., 2016)</w:t>
      </w:r>
      <w:r w:rsidRPr="00711FB9">
        <w:rPr>
          <w:szCs w:val="22"/>
          <w:lang w:val="vi-VN"/>
        </w:rPr>
        <w:t>, which demonstrates the impact of technology bring</w:t>
      </w:r>
      <w:proofErr w:type="spellStart"/>
      <w:r w:rsidRPr="00711FB9">
        <w:rPr>
          <w:szCs w:val="22"/>
        </w:rPr>
        <w:t>ing</w:t>
      </w:r>
      <w:proofErr w:type="spellEnd"/>
      <w:r w:rsidRPr="00711FB9">
        <w:rPr>
          <w:szCs w:val="22"/>
          <w:lang w:val="vi-VN"/>
        </w:rPr>
        <w:t xml:space="preserve"> fundamental success in online teaching</w:t>
      </w:r>
      <w:r w:rsidRPr="00711FB9">
        <w:rPr>
          <w:szCs w:val="22"/>
        </w:rPr>
        <w:t>,</w:t>
      </w:r>
      <w:r w:rsidRPr="00711FB9">
        <w:rPr>
          <w:szCs w:val="22"/>
          <w:lang w:val="vi-VN"/>
        </w:rPr>
        <w:t xml:space="preserve"> and</w:t>
      </w:r>
      <w:r w:rsidRPr="00711FB9">
        <w:rPr>
          <w:szCs w:val="22"/>
        </w:rPr>
        <w:t xml:space="preserve"> it</w:t>
      </w:r>
      <w:r w:rsidRPr="00711FB9">
        <w:rPr>
          <w:szCs w:val="22"/>
          <w:lang w:val="vi-VN"/>
        </w:rPr>
        <w:t xml:space="preserve"> is essential in organizing and implementing courses.</w:t>
      </w:r>
    </w:p>
    <w:p w14:paraId="2B026C8A" w14:textId="77777777" w:rsidR="00A00D0F" w:rsidRPr="00711FB9" w:rsidRDefault="00A00D0F" w:rsidP="006C0762">
      <w:pPr>
        <w:widowControl w:val="0"/>
        <w:ind w:firstLine="357"/>
        <w:jc w:val="both"/>
        <w:rPr>
          <w:szCs w:val="22"/>
          <w:lang w:val="vi-VN"/>
        </w:rPr>
      </w:pPr>
      <w:r w:rsidRPr="00711FB9">
        <w:rPr>
          <w:szCs w:val="22"/>
          <w:lang w:val="vi-VN"/>
        </w:rPr>
        <w:t xml:space="preserve">This </w:t>
      </w:r>
      <w:r w:rsidRPr="00711FB9">
        <w:rPr>
          <w:szCs w:val="22"/>
        </w:rPr>
        <w:t>study</w:t>
      </w:r>
      <w:r w:rsidRPr="00711FB9">
        <w:rPr>
          <w:szCs w:val="22"/>
          <w:lang w:val="vi-VN"/>
        </w:rPr>
        <w:t xml:space="preserve"> </w:t>
      </w:r>
      <w:r w:rsidRPr="00711FB9">
        <w:rPr>
          <w:szCs w:val="22"/>
        </w:rPr>
        <w:t xml:space="preserve">aims </w:t>
      </w:r>
      <w:r w:rsidRPr="00711FB9">
        <w:rPr>
          <w:szCs w:val="22"/>
          <w:lang w:val="vi-VN"/>
        </w:rPr>
        <w:t xml:space="preserve">to </w:t>
      </w:r>
      <w:r w:rsidRPr="00711FB9">
        <w:rPr>
          <w:szCs w:val="22"/>
        </w:rPr>
        <w:t>identify</w:t>
      </w:r>
      <w:r w:rsidRPr="00711FB9">
        <w:rPr>
          <w:szCs w:val="22"/>
          <w:lang w:val="vi-VN"/>
        </w:rPr>
        <w:t xml:space="preserve"> the IT </w:t>
      </w:r>
      <w:r w:rsidRPr="00711FB9">
        <w:rPr>
          <w:szCs w:val="22"/>
        </w:rPr>
        <w:t>competence</w:t>
      </w:r>
      <w:r w:rsidRPr="00711FB9">
        <w:rPr>
          <w:szCs w:val="22"/>
          <w:lang w:val="vi-VN"/>
        </w:rPr>
        <w:t xml:space="preserve"> framework to propose the requirements and procedures for us</w:t>
      </w:r>
      <w:r w:rsidRPr="00711FB9">
        <w:rPr>
          <w:szCs w:val="22"/>
        </w:rPr>
        <w:t>e</w:t>
      </w:r>
      <w:r w:rsidRPr="00711FB9">
        <w:rPr>
          <w:szCs w:val="22"/>
          <w:lang w:val="vi-VN"/>
        </w:rPr>
        <w:t xml:space="preserve"> tools and resources from IT competence to communicate, organize, store, administer </w:t>
      </w:r>
      <w:r w:rsidRPr="00711FB9">
        <w:rPr>
          <w:szCs w:val="22"/>
        </w:rPr>
        <w:t xml:space="preserve">and </w:t>
      </w:r>
      <w:r w:rsidRPr="00711FB9">
        <w:rPr>
          <w:szCs w:val="22"/>
          <w:lang w:val="vi-VN"/>
        </w:rPr>
        <w:t>assess in online teaching</w:t>
      </w:r>
      <w:r w:rsidRPr="00711FB9">
        <w:rPr>
          <w:szCs w:val="22"/>
        </w:rPr>
        <w:t xml:space="preserve"> by inheriting and developing the IT competence frameworks and skills standards of organizations such as UNESCO, ISTE, TPACK. </w:t>
      </w:r>
      <w:r w:rsidRPr="00711FB9">
        <w:rPr>
          <w:szCs w:val="22"/>
          <w:lang w:val="vi-VN"/>
        </w:rPr>
        <w:t>The scale can support the measurement and assessment of IT competencies in the context of the digital age in teaching, and</w:t>
      </w:r>
      <w:r w:rsidRPr="00711FB9">
        <w:rPr>
          <w:szCs w:val="22"/>
        </w:rPr>
        <w:t xml:space="preserve"> it</w:t>
      </w:r>
      <w:r w:rsidRPr="00711FB9">
        <w:rPr>
          <w:szCs w:val="22"/>
          <w:lang w:val="vi-VN"/>
        </w:rPr>
        <w:t xml:space="preserve"> provide</w:t>
      </w:r>
      <w:r w:rsidRPr="00711FB9">
        <w:rPr>
          <w:szCs w:val="22"/>
        </w:rPr>
        <w:t>s</w:t>
      </w:r>
      <w:r w:rsidRPr="00711FB9">
        <w:rPr>
          <w:szCs w:val="22"/>
          <w:lang w:val="vi-VN"/>
        </w:rPr>
        <w:t xml:space="preserve"> the right direction in fostering and developing this competence</w:t>
      </w:r>
      <w:r w:rsidRPr="00711FB9">
        <w:rPr>
          <w:szCs w:val="22"/>
        </w:rPr>
        <w:t xml:space="preserve"> for t</w:t>
      </w:r>
      <w:r w:rsidRPr="00711FB9">
        <w:rPr>
          <w:szCs w:val="22"/>
          <w:lang w:val="vi-VN"/>
        </w:rPr>
        <w:t>eacher</w:t>
      </w:r>
      <w:r w:rsidRPr="00711FB9">
        <w:rPr>
          <w:szCs w:val="22"/>
        </w:rPr>
        <w:t>s</w:t>
      </w:r>
      <w:r w:rsidRPr="00711FB9">
        <w:rPr>
          <w:szCs w:val="22"/>
          <w:lang w:val="vi-VN"/>
        </w:rPr>
        <w:t xml:space="preserve"> in online teaching.</w:t>
      </w:r>
    </w:p>
    <w:p w14:paraId="170AB836" w14:textId="77777777" w:rsidR="00A00D0F" w:rsidRPr="00711FB9" w:rsidRDefault="00A00D0F" w:rsidP="006C0762">
      <w:pPr>
        <w:ind w:firstLine="357"/>
        <w:jc w:val="both"/>
        <w:rPr>
          <w:szCs w:val="22"/>
        </w:rPr>
      </w:pPr>
      <w:r w:rsidRPr="00711FB9">
        <w:rPr>
          <w:szCs w:val="22"/>
        </w:rPr>
        <w:t>The research process was carried out by generalizing experiences, investigating education and seeking expert opinions to establish research results. The research’s results will contribute to the theoretical and practical pedagogy of technology in education.</w:t>
      </w:r>
    </w:p>
    <w:p w14:paraId="1149AD70" w14:textId="77777777" w:rsidR="009E5993" w:rsidRPr="00A05D8F" w:rsidRDefault="009E5993" w:rsidP="009E5993">
      <w:pPr>
        <w:jc w:val="both"/>
        <w:rPr>
          <w:lang w:val="en-GB"/>
        </w:rPr>
      </w:pPr>
    </w:p>
    <w:p w14:paraId="528F4F8B" w14:textId="77777777" w:rsidR="00F208E2" w:rsidRPr="00F31509" w:rsidRDefault="00F208E2" w:rsidP="00F208E2">
      <w:pPr>
        <w:spacing w:before="240" w:after="60"/>
        <w:jc w:val="both"/>
        <w:rPr>
          <w:b/>
          <w:sz w:val="24"/>
          <w:szCs w:val="22"/>
        </w:rPr>
      </w:pPr>
      <w:r>
        <w:rPr>
          <w:b/>
          <w:sz w:val="24"/>
          <w:szCs w:val="22"/>
        </w:rPr>
        <w:lastRenderedPageBreak/>
        <w:t>2.</w:t>
      </w:r>
      <w:r>
        <w:rPr>
          <w:b/>
          <w:sz w:val="24"/>
          <w:szCs w:val="22"/>
        </w:rPr>
        <w:tab/>
      </w:r>
      <w:r w:rsidRPr="00F31509">
        <w:rPr>
          <w:b/>
          <w:sz w:val="24"/>
          <w:szCs w:val="22"/>
        </w:rPr>
        <w:t>Literature Review</w:t>
      </w:r>
    </w:p>
    <w:p w14:paraId="5EEB67A1" w14:textId="77777777" w:rsidR="00F208E2" w:rsidRPr="0084614A" w:rsidRDefault="00F208E2" w:rsidP="00F208E2">
      <w:pPr>
        <w:jc w:val="both"/>
        <w:rPr>
          <w:szCs w:val="22"/>
        </w:rPr>
      </w:pPr>
      <w:r w:rsidRPr="0084614A">
        <w:rPr>
          <w:szCs w:val="22"/>
          <w:lang w:val="vi-VN"/>
        </w:rPr>
        <w:t xml:space="preserve">By analyzing the concepts of competence, </w:t>
      </w:r>
      <w:r w:rsidRPr="0084614A">
        <w:rPr>
          <w:szCs w:val="22"/>
        </w:rPr>
        <w:t xml:space="preserve">we can defined </w:t>
      </w:r>
      <w:r w:rsidRPr="0084614A">
        <w:rPr>
          <w:szCs w:val="22"/>
          <w:lang w:val="vi-VN"/>
        </w:rPr>
        <w:t xml:space="preserve">competence </w:t>
      </w:r>
      <w:r w:rsidRPr="0084614A">
        <w:rPr>
          <w:szCs w:val="22"/>
        </w:rPr>
        <w:t xml:space="preserve">into following </w:t>
      </w:r>
      <w:r w:rsidRPr="0084614A">
        <w:rPr>
          <w:szCs w:val="22"/>
          <w:lang w:val="vi-VN"/>
        </w:rPr>
        <w:t>categories: Activity category (competence is the mobilization of knowledge, skills and other personal attributes excitement, belief, will ... to perform a certain type of work in a given context</w:t>
      </w:r>
      <w:r w:rsidRPr="0084614A">
        <w:rPr>
          <w:szCs w:val="22"/>
        </w:rPr>
        <w:t xml:space="preserve"> (Education and Training Ministry, 2015</w:t>
      </w:r>
      <w:r w:rsidRPr="0084614A">
        <w:rPr>
          <w:szCs w:val="22"/>
          <w:lang w:val="vi-VN"/>
        </w:rPr>
        <w:t>)</w:t>
      </w:r>
      <w:r w:rsidRPr="0084614A">
        <w:rPr>
          <w:szCs w:val="22"/>
        </w:rPr>
        <w:t>)</w:t>
      </w:r>
      <w:r w:rsidRPr="0084614A">
        <w:rPr>
          <w:szCs w:val="22"/>
          <w:lang w:val="vi-VN"/>
        </w:rPr>
        <w:t>; Category of individual attributes (</w:t>
      </w:r>
      <w:r w:rsidRPr="0084614A">
        <w:rPr>
          <w:szCs w:val="22"/>
        </w:rPr>
        <w:t>c</w:t>
      </w:r>
      <w:r w:rsidRPr="0084614A">
        <w:rPr>
          <w:szCs w:val="22"/>
          <w:lang w:val="vi-VN"/>
        </w:rPr>
        <w:t xml:space="preserve">ompetence is the characteristic of an individual who demonstrates the level of proficiency-ie, </w:t>
      </w:r>
      <w:r w:rsidRPr="0084614A">
        <w:rPr>
          <w:szCs w:val="22"/>
        </w:rPr>
        <w:t xml:space="preserve">which </w:t>
      </w:r>
      <w:r w:rsidRPr="0084614A">
        <w:rPr>
          <w:szCs w:val="22"/>
          <w:lang w:val="vi-VN"/>
        </w:rPr>
        <w:t xml:space="preserve">can be practiced successfully and certainly-one or several types of activity </w:t>
      </w:r>
      <w:r w:rsidRPr="0084614A">
        <w:rPr>
          <w:szCs w:val="22"/>
        </w:rPr>
        <w:t>(Institute of Linguistics, 2010)</w:t>
      </w:r>
      <w:r w:rsidRPr="0084614A">
        <w:rPr>
          <w:szCs w:val="22"/>
          <w:lang w:val="vi-VN"/>
        </w:rPr>
        <w:t xml:space="preserve">). </w:t>
      </w:r>
    </w:p>
    <w:p w14:paraId="07F3670E" w14:textId="77777777" w:rsidR="00F208E2" w:rsidRPr="0084614A" w:rsidRDefault="00F208E2" w:rsidP="006C0762">
      <w:pPr>
        <w:ind w:firstLine="357"/>
        <w:jc w:val="both"/>
        <w:rPr>
          <w:szCs w:val="22"/>
          <w:lang w:val="vi-VN"/>
        </w:rPr>
      </w:pPr>
      <w:r w:rsidRPr="0084614A">
        <w:rPr>
          <w:szCs w:val="22"/>
          <w:lang w:val="vi-VN"/>
        </w:rPr>
        <w:t xml:space="preserve">The term </w:t>
      </w:r>
      <w:r w:rsidRPr="0084614A">
        <w:rPr>
          <w:szCs w:val="22"/>
        </w:rPr>
        <w:t xml:space="preserve">of </w:t>
      </w:r>
      <w:r w:rsidRPr="0084614A">
        <w:rPr>
          <w:szCs w:val="22"/>
          <w:lang w:val="vi-VN"/>
        </w:rPr>
        <w:t>IT is defined as a set of modern scientific, technological and technical tools for the production, transmission, collection, processing, storage and retrieval of information</w:t>
      </w:r>
      <w:r w:rsidRPr="0084614A">
        <w:rPr>
          <w:szCs w:val="22"/>
        </w:rPr>
        <w:t>, and</w:t>
      </w:r>
      <w:r w:rsidRPr="0084614A">
        <w:rPr>
          <w:szCs w:val="22"/>
          <w:lang w:val="vi-VN"/>
        </w:rPr>
        <w:t xml:space="preserve"> exchange of digital information</w:t>
      </w:r>
      <w:r w:rsidRPr="0084614A">
        <w:rPr>
          <w:szCs w:val="22"/>
        </w:rPr>
        <w:t xml:space="preserve"> (National Assembly, 2006)</w:t>
      </w:r>
      <w:r w:rsidRPr="0084614A">
        <w:rPr>
          <w:szCs w:val="22"/>
          <w:lang w:val="vi-VN"/>
        </w:rPr>
        <w:t xml:space="preserve">. </w:t>
      </w:r>
      <w:r w:rsidRPr="0084614A">
        <w:rPr>
          <w:szCs w:val="22"/>
        </w:rPr>
        <w:t xml:space="preserve">The </w:t>
      </w:r>
      <w:r w:rsidRPr="0084614A">
        <w:rPr>
          <w:szCs w:val="22"/>
          <w:lang w:val="vi-VN"/>
        </w:rPr>
        <w:t>IT competence is defined as a diverse set of tools and technology resources</w:t>
      </w:r>
      <w:r w:rsidRPr="0084614A">
        <w:rPr>
          <w:szCs w:val="22"/>
        </w:rPr>
        <w:t>,</w:t>
      </w:r>
      <w:r w:rsidRPr="0084614A">
        <w:rPr>
          <w:szCs w:val="22"/>
          <w:lang w:val="vi-VN"/>
        </w:rPr>
        <w:t xml:space="preserve"> used to exchange, create, disseminate, store and manage information</w:t>
      </w:r>
      <w:r w:rsidRPr="0084614A">
        <w:rPr>
          <w:szCs w:val="22"/>
        </w:rPr>
        <w:t xml:space="preserve"> (Craig </w:t>
      </w:r>
      <w:proofErr w:type="spellStart"/>
      <w:r w:rsidRPr="0084614A">
        <w:rPr>
          <w:szCs w:val="22"/>
        </w:rPr>
        <w:t>Blurton</w:t>
      </w:r>
      <w:proofErr w:type="spellEnd"/>
      <w:r w:rsidRPr="0084614A">
        <w:rPr>
          <w:szCs w:val="22"/>
        </w:rPr>
        <w:t>, 2002)</w:t>
      </w:r>
      <w:r w:rsidRPr="0084614A">
        <w:rPr>
          <w:szCs w:val="22"/>
          <w:lang w:val="vi-VN"/>
        </w:rPr>
        <w:t>.</w:t>
      </w:r>
    </w:p>
    <w:p w14:paraId="1FC53637" w14:textId="77777777" w:rsidR="00F208E2" w:rsidRPr="0084614A" w:rsidRDefault="00F208E2" w:rsidP="006C0762">
      <w:pPr>
        <w:ind w:firstLine="357"/>
        <w:jc w:val="both"/>
        <w:rPr>
          <w:szCs w:val="22"/>
        </w:rPr>
      </w:pPr>
      <w:r w:rsidRPr="0084614A">
        <w:rPr>
          <w:szCs w:val="22"/>
          <w:lang w:val="vi-VN"/>
        </w:rPr>
        <w:t xml:space="preserve">The concept of IT competence in teaching is understood </w:t>
      </w:r>
      <w:r w:rsidRPr="0084614A">
        <w:rPr>
          <w:szCs w:val="22"/>
        </w:rPr>
        <w:t>as</w:t>
      </w:r>
      <w:r w:rsidRPr="0084614A">
        <w:rPr>
          <w:szCs w:val="22"/>
          <w:lang w:val="vi-VN"/>
        </w:rPr>
        <w:t xml:space="preserve"> storage, processing, and communication of information by electronic means, and through such means to communicate, and communicate information between many people or group together effectively in the teaching process.</w:t>
      </w:r>
    </w:p>
    <w:p w14:paraId="6BBDA34F" w14:textId="77777777" w:rsidR="00F208E2" w:rsidRPr="009A6368" w:rsidRDefault="00F208E2" w:rsidP="006C0762">
      <w:pPr>
        <w:ind w:firstLine="357"/>
        <w:jc w:val="both"/>
        <w:rPr>
          <w:szCs w:val="22"/>
        </w:rPr>
      </w:pPr>
      <w:r w:rsidRPr="0084614A">
        <w:rPr>
          <w:szCs w:val="22"/>
          <w:lang w:val="vi-VN"/>
        </w:rPr>
        <w:t>According to UNESCO</w:t>
      </w:r>
      <w:r w:rsidRPr="0084614A">
        <w:rPr>
          <w:szCs w:val="22"/>
        </w:rPr>
        <w:t xml:space="preserve">: </w:t>
      </w:r>
      <w:r w:rsidRPr="0084614A">
        <w:rPr>
          <w:szCs w:val="22"/>
          <w:lang w:val="vi-VN"/>
        </w:rPr>
        <w:t>In 201</w:t>
      </w:r>
      <w:r w:rsidRPr="0084614A">
        <w:rPr>
          <w:szCs w:val="22"/>
        </w:rPr>
        <w:t>8</w:t>
      </w:r>
      <w:r w:rsidRPr="0084614A">
        <w:rPr>
          <w:szCs w:val="22"/>
          <w:lang w:val="vi-VN"/>
        </w:rPr>
        <w:t xml:space="preserve">, the United Nations Educational, Scientific and Cultural Organization - UNESCO set up an </w:t>
      </w:r>
      <w:r w:rsidRPr="0084614A">
        <w:rPr>
          <w:szCs w:val="22"/>
        </w:rPr>
        <w:t xml:space="preserve">Information Communication Technology (ICT) </w:t>
      </w:r>
      <w:r w:rsidRPr="0084614A">
        <w:rPr>
          <w:szCs w:val="22"/>
          <w:lang w:val="vi-VN"/>
        </w:rPr>
        <w:t>Competence Framework for Teachers</w:t>
      </w:r>
      <w:r w:rsidRPr="0084614A">
        <w:rPr>
          <w:szCs w:val="22"/>
        </w:rPr>
        <w:t xml:space="preserve"> Version 3</w:t>
      </w:r>
      <w:r w:rsidRPr="0084614A">
        <w:rPr>
          <w:szCs w:val="22"/>
          <w:lang w:val="vi-VN"/>
        </w:rPr>
        <w:t xml:space="preserve">, in which the competence framework covers </w:t>
      </w:r>
      <w:r w:rsidRPr="0084614A">
        <w:rPr>
          <w:szCs w:val="22"/>
        </w:rPr>
        <w:t>6</w:t>
      </w:r>
      <w:r w:rsidRPr="0084614A">
        <w:rPr>
          <w:szCs w:val="22"/>
          <w:lang w:val="vi-VN"/>
        </w:rPr>
        <w:t xml:space="preserve"> dimensions</w:t>
      </w:r>
      <w:r w:rsidRPr="0084614A">
        <w:rPr>
          <w:szCs w:val="22"/>
        </w:rPr>
        <w:t xml:space="preserve"> (UNESCO, 2018) developed from UNESCO Version 2 in 2011.</w:t>
      </w:r>
      <w:r w:rsidRPr="0084614A">
        <w:rPr>
          <w:szCs w:val="22"/>
          <w:lang w:val="vi-VN"/>
        </w:rPr>
        <w:t xml:space="preserve"> In teaching, the teachers include:</w:t>
      </w:r>
      <w:r w:rsidRPr="0084614A">
        <w:rPr>
          <w:szCs w:val="22"/>
        </w:rPr>
        <w:t xml:space="preserve"> </w:t>
      </w:r>
      <w:r w:rsidRPr="0084614A">
        <w:rPr>
          <w:szCs w:val="22"/>
          <w:lang w:val="vi-VN"/>
        </w:rPr>
        <w:t>(1) Understanding ICT in Education</w:t>
      </w:r>
      <w:r w:rsidRPr="0084614A">
        <w:rPr>
          <w:szCs w:val="22"/>
        </w:rPr>
        <w:t xml:space="preserve">, </w:t>
      </w:r>
      <w:r w:rsidRPr="0084614A">
        <w:rPr>
          <w:szCs w:val="22"/>
          <w:lang w:val="vi-VN"/>
        </w:rPr>
        <w:t xml:space="preserve">(2) Curriculum and </w:t>
      </w:r>
      <w:r w:rsidRPr="0084614A">
        <w:rPr>
          <w:szCs w:val="22"/>
        </w:rPr>
        <w:t xml:space="preserve">Assessment, </w:t>
      </w:r>
      <w:r w:rsidRPr="0084614A">
        <w:rPr>
          <w:szCs w:val="22"/>
          <w:lang w:val="vi-VN"/>
        </w:rPr>
        <w:t>(3) Pedagogy</w:t>
      </w:r>
      <w:r w:rsidRPr="0084614A">
        <w:rPr>
          <w:szCs w:val="22"/>
        </w:rPr>
        <w:t xml:space="preserve">, </w:t>
      </w:r>
      <w:r w:rsidRPr="0084614A">
        <w:rPr>
          <w:szCs w:val="22"/>
          <w:lang w:val="vi-VN"/>
        </w:rPr>
        <w:t xml:space="preserve">(4) </w:t>
      </w:r>
      <w:r w:rsidRPr="0084614A">
        <w:rPr>
          <w:szCs w:val="22"/>
        </w:rPr>
        <w:t xml:space="preserve">Application of Digital Skills, </w:t>
      </w:r>
      <w:r w:rsidRPr="0084614A">
        <w:rPr>
          <w:szCs w:val="22"/>
          <w:lang w:val="vi-VN"/>
        </w:rPr>
        <w:t xml:space="preserve">(5) </w:t>
      </w:r>
      <w:r w:rsidRPr="0084614A">
        <w:rPr>
          <w:szCs w:val="22"/>
        </w:rPr>
        <w:t xml:space="preserve">Organization and Administration, </w:t>
      </w:r>
      <w:r w:rsidRPr="0084614A">
        <w:rPr>
          <w:szCs w:val="22"/>
          <w:lang w:val="vi-VN"/>
        </w:rPr>
        <w:t xml:space="preserve">(6) </w:t>
      </w:r>
      <w:r w:rsidRPr="0084614A">
        <w:rPr>
          <w:szCs w:val="22"/>
        </w:rPr>
        <w:t>Teacher Professional Learning.</w:t>
      </w:r>
      <w:r>
        <w:rPr>
          <w:szCs w:val="22"/>
        </w:rPr>
        <w:t xml:space="preserve"> </w:t>
      </w:r>
      <w:r w:rsidRPr="0084614A">
        <w:rPr>
          <w:szCs w:val="22"/>
          <w:lang w:val="vi-VN"/>
        </w:rPr>
        <w:t xml:space="preserve">Each aspect consists of </w:t>
      </w:r>
      <w:r w:rsidRPr="0084614A">
        <w:rPr>
          <w:szCs w:val="22"/>
        </w:rPr>
        <w:t>3</w:t>
      </w:r>
      <w:r w:rsidRPr="0084614A">
        <w:rPr>
          <w:szCs w:val="22"/>
          <w:lang w:val="vi-VN"/>
        </w:rPr>
        <w:t xml:space="preserve"> levels of continuity in the development of teacher competencies</w:t>
      </w:r>
      <w:r w:rsidRPr="0084614A">
        <w:rPr>
          <w:szCs w:val="22"/>
        </w:rPr>
        <w:t>:</w:t>
      </w:r>
      <w:r w:rsidRPr="0084614A">
        <w:rPr>
          <w:szCs w:val="22"/>
          <w:lang w:val="vi-VN"/>
        </w:rPr>
        <w:t xml:space="preserve"> </w:t>
      </w:r>
      <w:r>
        <w:rPr>
          <w:szCs w:val="22"/>
        </w:rPr>
        <w:t xml:space="preserve">1-Knowledge, 2-Knowledge </w:t>
      </w:r>
      <w:proofErr w:type="spellStart"/>
      <w:r>
        <w:rPr>
          <w:szCs w:val="22"/>
        </w:rPr>
        <w:t>Deepending</w:t>
      </w:r>
      <w:proofErr w:type="spellEnd"/>
      <w:r>
        <w:rPr>
          <w:szCs w:val="22"/>
        </w:rPr>
        <w:t>, 3-Knowledge Creation.</w:t>
      </w:r>
    </w:p>
    <w:p w14:paraId="652F0AE7" w14:textId="77777777" w:rsidR="00F208E2" w:rsidRDefault="00F208E2" w:rsidP="006C0762">
      <w:pPr>
        <w:ind w:firstLine="357"/>
        <w:jc w:val="both"/>
        <w:rPr>
          <w:rStyle w:val="fontstyle01"/>
          <w:sz w:val="22"/>
          <w:szCs w:val="22"/>
        </w:rPr>
      </w:pPr>
      <w:r w:rsidRPr="0084614A">
        <w:rPr>
          <w:szCs w:val="22"/>
        </w:rPr>
        <w:t xml:space="preserve">The ICT competence framework proposed by UNESCO in 6 </w:t>
      </w:r>
      <w:r w:rsidRPr="0084614A">
        <w:rPr>
          <w:szCs w:val="22"/>
          <w:lang w:val="vi-VN"/>
        </w:rPr>
        <w:t>dimensions</w:t>
      </w:r>
      <w:r w:rsidRPr="0084614A">
        <w:rPr>
          <w:szCs w:val="22"/>
        </w:rPr>
        <w:t xml:space="preserve"> is very diverse, not only in terms of tool use but also in theoretical knowledge, and in activities specific of the teacher. In addition, the demand for IT competence in teaching for teachers is not limited in the proficient and effective use of what is available, but also encourages innovation, creating new ones based on the practice requirements of the teaching process</w:t>
      </w:r>
      <w:r w:rsidRPr="0084614A">
        <w:rPr>
          <w:rStyle w:val="fontstyle01"/>
          <w:sz w:val="22"/>
          <w:szCs w:val="22"/>
        </w:rPr>
        <w:t>.</w:t>
      </w:r>
    </w:p>
    <w:p w14:paraId="58C22DD6" w14:textId="77777777" w:rsidR="00F208E2" w:rsidRDefault="00F208E2" w:rsidP="006C0762">
      <w:pPr>
        <w:ind w:firstLine="357"/>
        <w:jc w:val="both"/>
        <w:rPr>
          <w:szCs w:val="22"/>
        </w:rPr>
      </w:pPr>
      <w:r w:rsidRPr="0084614A">
        <w:rPr>
          <w:szCs w:val="22"/>
        </w:rPr>
        <w:t xml:space="preserve">In 2012, the TPACK-XL framework was </w:t>
      </w:r>
      <w:proofErr w:type="spellStart"/>
      <w:r w:rsidRPr="0084614A">
        <w:rPr>
          <w:szCs w:val="22"/>
        </w:rPr>
        <w:t>Milad</w:t>
      </w:r>
      <w:proofErr w:type="spellEnd"/>
      <w:r w:rsidRPr="0084614A">
        <w:rPr>
          <w:szCs w:val="22"/>
        </w:rPr>
        <w:t xml:space="preserve"> </w:t>
      </w:r>
      <w:proofErr w:type="spellStart"/>
      <w:r w:rsidRPr="0084614A">
        <w:rPr>
          <w:szCs w:val="22"/>
        </w:rPr>
        <w:t>Saad</w:t>
      </w:r>
      <w:proofErr w:type="spellEnd"/>
      <w:r w:rsidRPr="0084614A">
        <w:rPr>
          <w:szCs w:val="22"/>
        </w:rPr>
        <w:t xml:space="preserve">, et al., </w:t>
      </w:r>
      <w:proofErr w:type="spellStart"/>
      <w:r w:rsidRPr="0084614A">
        <w:rPr>
          <w:szCs w:val="22"/>
        </w:rPr>
        <w:t>builded</w:t>
      </w:r>
      <w:proofErr w:type="spellEnd"/>
      <w:r w:rsidRPr="0084614A">
        <w:rPr>
          <w:szCs w:val="22"/>
        </w:rPr>
        <w:t xml:space="preserve"> which redefining ICT-TPCK knowledge bases. “The potential of TPACK-XL framework might seem useful to serve as an advanced lens of ICT-TPCK for educators and researchers to open the discussion about the strategies leading to building preservice teachers’ knowledge and the corresponding teacher education programs content that appreciate the pedagogically wise negotiation to fit the capacities of ICTs in education” (</w:t>
      </w:r>
      <w:proofErr w:type="spellStart"/>
      <w:r w:rsidRPr="0084614A">
        <w:rPr>
          <w:szCs w:val="22"/>
        </w:rPr>
        <w:t>Milad</w:t>
      </w:r>
      <w:proofErr w:type="spellEnd"/>
      <w:r w:rsidRPr="0084614A">
        <w:rPr>
          <w:szCs w:val="22"/>
        </w:rPr>
        <w:t>, et al, 2012).</w:t>
      </w:r>
    </w:p>
    <w:p w14:paraId="2C65567E" w14:textId="77777777" w:rsidR="00F208E2" w:rsidRPr="0084614A" w:rsidRDefault="00F208E2" w:rsidP="006E4C91">
      <w:pPr>
        <w:jc w:val="center"/>
        <w:rPr>
          <w:szCs w:val="22"/>
        </w:rPr>
      </w:pPr>
      <w:r w:rsidRPr="0084614A">
        <w:rPr>
          <w:noProof/>
          <w:color w:val="FF0000"/>
          <w:szCs w:val="22"/>
          <w:lang w:val="en-MY" w:eastAsia="en-MY"/>
        </w:rPr>
        <w:drawing>
          <wp:inline distT="0" distB="0" distL="0" distR="0" wp14:anchorId="2616D98F" wp14:editId="55A519CA">
            <wp:extent cx="2931677" cy="2372264"/>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2882" cy="2429882"/>
                    </a:xfrm>
                    <a:prstGeom prst="rect">
                      <a:avLst/>
                    </a:prstGeom>
                    <a:noFill/>
                    <a:ln>
                      <a:noFill/>
                    </a:ln>
                  </pic:spPr>
                </pic:pic>
              </a:graphicData>
            </a:graphic>
          </wp:inline>
        </w:drawing>
      </w:r>
    </w:p>
    <w:p w14:paraId="46B3DAE4" w14:textId="77777777" w:rsidR="00F208E2" w:rsidRPr="006E4C91" w:rsidRDefault="00F208E2" w:rsidP="00F208E2">
      <w:pPr>
        <w:widowControl w:val="0"/>
        <w:ind w:firstLine="284"/>
        <w:jc w:val="center"/>
        <w:rPr>
          <w:b/>
          <w:sz w:val="16"/>
          <w:szCs w:val="22"/>
        </w:rPr>
      </w:pPr>
      <w:r w:rsidRPr="006E4C91">
        <w:rPr>
          <w:b/>
          <w:sz w:val="16"/>
          <w:szCs w:val="22"/>
        </w:rPr>
        <w:t>Fig. 1 - Educational Technology in TPACK-XL (</w:t>
      </w:r>
      <w:proofErr w:type="spellStart"/>
      <w:r w:rsidRPr="006E4C91">
        <w:rPr>
          <w:b/>
          <w:sz w:val="16"/>
          <w:szCs w:val="22"/>
        </w:rPr>
        <w:t>Milad</w:t>
      </w:r>
      <w:proofErr w:type="spellEnd"/>
      <w:r w:rsidRPr="006E4C91">
        <w:rPr>
          <w:b/>
          <w:sz w:val="16"/>
          <w:szCs w:val="22"/>
        </w:rPr>
        <w:t>, et al, 2012)</w:t>
      </w:r>
    </w:p>
    <w:p w14:paraId="7CE142BA" w14:textId="77777777" w:rsidR="00CE056F" w:rsidRDefault="00CE056F" w:rsidP="00F208E2">
      <w:pPr>
        <w:ind w:firstLine="284"/>
        <w:jc w:val="both"/>
        <w:rPr>
          <w:szCs w:val="22"/>
        </w:rPr>
      </w:pPr>
    </w:p>
    <w:p w14:paraId="68C9DAF8" w14:textId="77777777" w:rsidR="00F208E2" w:rsidRDefault="00F208E2" w:rsidP="00857BA2">
      <w:pPr>
        <w:ind w:firstLine="357"/>
        <w:jc w:val="both"/>
        <w:rPr>
          <w:szCs w:val="22"/>
          <w:lang w:val="vi-VN"/>
        </w:rPr>
      </w:pPr>
      <w:r w:rsidRPr="0084614A">
        <w:rPr>
          <w:szCs w:val="22"/>
        </w:rPr>
        <w:t xml:space="preserve">ISTE's technology skills standard for teachers: In 2008, the ISTE published a set of standards for technology skills for teachers (ISTE Standards for Teachers), and in 2018, which </w:t>
      </w:r>
      <w:proofErr w:type="spellStart"/>
      <w:r w:rsidRPr="0084614A">
        <w:rPr>
          <w:szCs w:val="22"/>
        </w:rPr>
        <w:t>developmented</w:t>
      </w:r>
      <w:proofErr w:type="spellEnd"/>
      <w:r w:rsidRPr="0084614A">
        <w:rPr>
          <w:szCs w:val="22"/>
        </w:rPr>
        <w:t xml:space="preserve"> the set of standards for technology skills (ISTE Standards Education Leaders, 2018) including 5 standards</w:t>
      </w:r>
      <w:r>
        <w:rPr>
          <w:szCs w:val="22"/>
        </w:rPr>
        <w:t>: (1)-Equity and Citizenship Advocate, (2)-Visionary Planner, (3)-Empowering Leader, (4)-Systems Designer, (5)-Connected Learner</w:t>
      </w:r>
      <w:r w:rsidRPr="0084614A">
        <w:rPr>
          <w:szCs w:val="22"/>
        </w:rPr>
        <w:t xml:space="preserve">. </w:t>
      </w:r>
      <w:r w:rsidRPr="0084614A">
        <w:rPr>
          <w:szCs w:val="22"/>
          <w:lang w:val="vi-VN"/>
        </w:rPr>
        <w:t>This standard defines the skills and pedagogical ideas that educators need in the digital age.</w:t>
      </w:r>
    </w:p>
    <w:p w14:paraId="22E2509C" w14:textId="77777777" w:rsidR="00CE056F" w:rsidRPr="0084614A" w:rsidRDefault="00CE056F" w:rsidP="00857BA2">
      <w:pPr>
        <w:ind w:firstLine="357"/>
        <w:jc w:val="both"/>
        <w:rPr>
          <w:szCs w:val="22"/>
          <w:lang w:val="vi-VN"/>
        </w:rPr>
      </w:pPr>
      <w:r w:rsidRPr="0084614A">
        <w:rPr>
          <w:szCs w:val="22"/>
        </w:rPr>
        <w:t xml:space="preserve">The </w:t>
      </w:r>
      <w:r w:rsidRPr="0084614A">
        <w:rPr>
          <w:szCs w:val="22"/>
          <w:lang w:val="vi-VN"/>
        </w:rPr>
        <w:t xml:space="preserve">unique </w:t>
      </w:r>
      <w:r w:rsidRPr="0084614A">
        <w:rPr>
          <w:szCs w:val="22"/>
        </w:rPr>
        <w:t xml:space="preserve">of </w:t>
      </w:r>
      <w:r w:rsidRPr="0084614A">
        <w:rPr>
          <w:szCs w:val="22"/>
          <w:lang w:val="vi-VN"/>
        </w:rPr>
        <w:t xml:space="preserve">this scale is that the application of IT is not limited the skill level of using technology in different </w:t>
      </w:r>
      <w:r w:rsidRPr="0084614A">
        <w:rPr>
          <w:szCs w:val="22"/>
        </w:rPr>
        <w:t>field</w:t>
      </w:r>
      <w:r w:rsidRPr="0084614A">
        <w:rPr>
          <w:szCs w:val="22"/>
          <w:lang w:val="vi-VN"/>
        </w:rPr>
        <w:t>s, but</w:t>
      </w:r>
      <w:r w:rsidRPr="0084614A">
        <w:rPr>
          <w:szCs w:val="22"/>
        </w:rPr>
        <w:t xml:space="preserve"> it</w:t>
      </w:r>
      <w:r w:rsidRPr="0084614A">
        <w:rPr>
          <w:szCs w:val="22"/>
          <w:lang w:val="vi-VN"/>
        </w:rPr>
        <w:t xml:space="preserve"> also emphasizes theoretical, practical and critical understanding. It also mentions the positive attitude, the correctness, and leadership when using digital tools and resources in schools.</w:t>
      </w:r>
    </w:p>
    <w:p w14:paraId="5F3B3574" w14:textId="77777777" w:rsidR="00CE056F" w:rsidRDefault="00CE056F" w:rsidP="00857BA2">
      <w:pPr>
        <w:ind w:firstLine="357"/>
        <w:jc w:val="both"/>
        <w:rPr>
          <w:szCs w:val="22"/>
        </w:rPr>
      </w:pPr>
      <w:r w:rsidRPr="0084614A">
        <w:rPr>
          <w:szCs w:val="22"/>
        </w:rPr>
        <w:t>There are some researches on competence framework, IT skills standards, or IT competence assessment in teaching (</w:t>
      </w:r>
      <w:proofErr w:type="spellStart"/>
      <w:r w:rsidRPr="0084614A">
        <w:rPr>
          <w:szCs w:val="22"/>
        </w:rPr>
        <w:t>Shihkuan</w:t>
      </w:r>
      <w:proofErr w:type="spellEnd"/>
      <w:r w:rsidRPr="0084614A">
        <w:rPr>
          <w:szCs w:val="22"/>
        </w:rPr>
        <w:t xml:space="preserve"> Hsu, 2017; </w:t>
      </w:r>
      <w:proofErr w:type="spellStart"/>
      <w:r w:rsidRPr="0084614A">
        <w:rPr>
          <w:iCs/>
          <w:szCs w:val="22"/>
        </w:rPr>
        <w:t>Mosa</w:t>
      </w:r>
      <w:proofErr w:type="spellEnd"/>
      <w:r w:rsidRPr="0084614A">
        <w:rPr>
          <w:iCs/>
          <w:szCs w:val="22"/>
        </w:rPr>
        <w:t xml:space="preserve"> Ali, </w:t>
      </w:r>
      <w:proofErr w:type="spellStart"/>
      <w:r w:rsidRPr="0084614A">
        <w:rPr>
          <w:iCs/>
          <w:szCs w:val="22"/>
        </w:rPr>
        <w:t>Mahrin</w:t>
      </w:r>
      <w:proofErr w:type="spellEnd"/>
      <w:r w:rsidRPr="0084614A">
        <w:rPr>
          <w:iCs/>
          <w:szCs w:val="22"/>
        </w:rPr>
        <w:t xml:space="preserve">, </w:t>
      </w:r>
      <w:proofErr w:type="spellStart"/>
      <w:r w:rsidRPr="0084614A">
        <w:rPr>
          <w:iCs/>
          <w:szCs w:val="22"/>
        </w:rPr>
        <w:t>Roslina</w:t>
      </w:r>
      <w:proofErr w:type="spellEnd"/>
      <w:r w:rsidRPr="0084614A">
        <w:rPr>
          <w:iCs/>
          <w:szCs w:val="22"/>
        </w:rPr>
        <w:t xml:space="preserve"> </w:t>
      </w:r>
      <w:proofErr w:type="spellStart"/>
      <w:r w:rsidRPr="0084614A">
        <w:rPr>
          <w:iCs/>
          <w:szCs w:val="22"/>
        </w:rPr>
        <w:t>Ibrrahim</w:t>
      </w:r>
      <w:proofErr w:type="spellEnd"/>
      <w:r w:rsidRPr="0084614A">
        <w:rPr>
          <w:iCs/>
          <w:szCs w:val="22"/>
        </w:rPr>
        <w:t xml:space="preserve">, 2016; </w:t>
      </w:r>
      <w:r w:rsidRPr="0084614A">
        <w:rPr>
          <w:szCs w:val="22"/>
          <w:lang w:val="pt-BR"/>
        </w:rPr>
        <w:t xml:space="preserve">Aaron Lacey, </w:t>
      </w:r>
      <w:r w:rsidRPr="0084614A">
        <w:rPr>
          <w:noProof/>
          <w:szCs w:val="22"/>
        </w:rPr>
        <w:t xml:space="preserve">Christopher Murray, 2015; </w:t>
      </w:r>
      <w:r w:rsidRPr="0084614A">
        <w:rPr>
          <w:szCs w:val="22"/>
          <w:lang w:val="vi-VN"/>
        </w:rPr>
        <w:t>Matthew J.</w:t>
      </w:r>
      <w:r w:rsidRPr="0084614A">
        <w:rPr>
          <w:szCs w:val="22"/>
        </w:rPr>
        <w:t xml:space="preserve"> et al, </w:t>
      </w:r>
      <w:r w:rsidRPr="0084614A">
        <w:rPr>
          <w:szCs w:val="22"/>
          <w:lang w:val="vi-VN"/>
        </w:rPr>
        <w:t>2014</w:t>
      </w:r>
      <w:r w:rsidRPr="0084614A">
        <w:rPr>
          <w:szCs w:val="22"/>
        </w:rPr>
        <w:t xml:space="preserve">; </w:t>
      </w:r>
      <w:r w:rsidRPr="0084614A">
        <w:rPr>
          <w:szCs w:val="22"/>
          <w:lang w:val="vi-VN"/>
        </w:rPr>
        <w:t>Zhijun Wang, Li Chen, Terry Anderson</w:t>
      </w:r>
      <w:r w:rsidRPr="0084614A">
        <w:rPr>
          <w:szCs w:val="22"/>
        </w:rPr>
        <w:t xml:space="preserve">, </w:t>
      </w:r>
      <w:r w:rsidRPr="0084614A">
        <w:rPr>
          <w:szCs w:val="22"/>
          <w:lang w:val="vi-VN"/>
        </w:rPr>
        <w:t>2014</w:t>
      </w:r>
      <w:r w:rsidRPr="0084614A">
        <w:rPr>
          <w:szCs w:val="22"/>
        </w:rPr>
        <w:t xml:space="preserve">; Matthew </w:t>
      </w:r>
      <w:proofErr w:type="spellStart"/>
      <w:r w:rsidRPr="0084614A">
        <w:rPr>
          <w:szCs w:val="22"/>
        </w:rPr>
        <w:t>Prineas</w:t>
      </w:r>
      <w:proofErr w:type="spellEnd"/>
      <w:r w:rsidRPr="0084614A">
        <w:rPr>
          <w:szCs w:val="22"/>
        </w:rPr>
        <w:t xml:space="preserve"> and Marie </w:t>
      </w:r>
      <w:proofErr w:type="spellStart"/>
      <w:r w:rsidRPr="0084614A">
        <w:rPr>
          <w:szCs w:val="22"/>
        </w:rPr>
        <w:t>Cini</w:t>
      </w:r>
      <w:proofErr w:type="spellEnd"/>
      <w:r w:rsidRPr="0084614A">
        <w:rPr>
          <w:szCs w:val="22"/>
        </w:rPr>
        <w:t xml:space="preserve">, 2011; </w:t>
      </w:r>
      <w:proofErr w:type="spellStart"/>
      <w:r w:rsidRPr="0084614A">
        <w:rPr>
          <w:szCs w:val="22"/>
        </w:rPr>
        <w:t>Geçer</w:t>
      </w:r>
      <w:proofErr w:type="spellEnd"/>
      <w:r w:rsidRPr="0084614A">
        <w:rPr>
          <w:szCs w:val="22"/>
        </w:rPr>
        <w:t xml:space="preserve"> </w:t>
      </w:r>
      <w:proofErr w:type="spellStart"/>
      <w:r w:rsidRPr="0084614A">
        <w:rPr>
          <w:szCs w:val="22"/>
        </w:rPr>
        <w:t>Kolburan</w:t>
      </w:r>
      <w:proofErr w:type="spellEnd"/>
      <w:r w:rsidRPr="0084614A">
        <w:rPr>
          <w:szCs w:val="22"/>
        </w:rPr>
        <w:t xml:space="preserve"> A., </w:t>
      </w:r>
      <w:proofErr w:type="spellStart"/>
      <w:r w:rsidRPr="0084614A">
        <w:rPr>
          <w:szCs w:val="22"/>
        </w:rPr>
        <w:t>Dağ</w:t>
      </w:r>
      <w:proofErr w:type="spellEnd"/>
      <w:r w:rsidRPr="0084614A">
        <w:rPr>
          <w:szCs w:val="22"/>
        </w:rPr>
        <w:t xml:space="preserve"> F., 2010). However, the </w:t>
      </w:r>
      <w:proofErr w:type="spellStart"/>
      <w:r w:rsidRPr="0084614A">
        <w:rPr>
          <w:szCs w:val="22"/>
        </w:rPr>
        <w:t>researches</w:t>
      </w:r>
      <w:proofErr w:type="spellEnd"/>
      <w:r w:rsidRPr="0084614A">
        <w:rPr>
          <w:szCs w:val="22"/>
        </w:rPr>
        <w:t xml:space="preserve"> are applying traditional teaching methods or interactive results, learners' </w:t>
      </w:r>
      <w:r w:rsidRPr="0084614A">
        <w:rPr>
          <w:szCs w:val="22"/>
        </w:rPr>
        <w:lastRenderedPageBreak/>
        <w:t>competence evaluation to organize an online basis, but they have not solved the problem in setting up the tools of evaluation criteria for using IT in teaching and online teaching.</w:t>
      </w:r>
    </w:p>
    <w:p w14:paraId="7D7E9999" w14:textId="77777777" w:rsidR="00857BA2" w:rsidRPr="0084614A" w:rsidRDefault="00857BA2" w:rsidP="00857BA2">
      <w:pPr>
        <w:ind w:firstLine="357"/>
        <w:jc w:val="both"/>
        <w:rPr>
          <w:szCs w:val="22"/>
        </w:rPr>
      </w:pPr>
    </w:p>
    <w:p w14:paraId="7CD78973" w14:textId="77777777" w:rsidR="00CE056F" w:rsidRPr="00E229A1" w:rsidRDefault="00CE056F" w:rsidP="00857BA2">
      <w:pPr>
        <w:spacing w:before="240" w:after="60"/>
        <w:jc w:val="both"/>
        <w:rPr>
          <w:b/>
          <w:sz w:val="24"/>
          <w:szCs w:val="22"/>
        </w:rPr>
      </w:pPr>
      <w:r w:rsidRPr="00E229A1">
        <w:rPr>
          <w:b/>
          <w:sz w:val="24"/>
          <w:szCs w:val="22"/>
        </w:rPr>
        <w:t xml:space="preserve">3. </w:t>
      </w:r>
      <w:r>
        <w:rPr>
          <w:b/>
          <w:sz w:val="24"/>
          <w:szCs w:val="22"/>
        </w:rPr>
        <w:tab/>
        <w:t>Methodology</w:t>
      </w:r>
    </w:p>
    <w:p w14:paraId="73C0FF2E" w14:textId="77777777" w:rsidR="00CE056F" w:rsidRPr="0084614A" w:rsidRDefault="00CE056F" w:rsidP="00CE056F">
      <w:pPr>
        <w:jc w:val="both"/>
        <w:rPr>
          <w:szCs w:val="22"/>
        </w:rPr>
      </w:pPr>
      <w:r w:rsidRPr="0084614A">
        <w:rPr>
          <w:szCs w:val="22"/>
        </w:rPr>
        <w:t>This study used the combination of qualitative and quantitative methods. This would be best equipped to provide the depth of description needed to clarify how the essential needs of using IT competence in online teaching. Based on teacher interviews and review of relevant studies, teaching tasks were identified and included survey instruments.</w:t>
      </w:r>
      <w:r w:rsidRPr="0084614A">
        <w:rPr>
          <w:i/>
          <w:szCs w:val="22"/>
        </w:rPr>
        <w:t xml:space="preserve"> </w:t>
      </w:r>
      <w:r w:rsidRPr="0084614A">
        <w:rPr>
          <w:szCs w:val="22"/>
        </w:rPr>
        <w:t>In this study section, we used investigation results for data collection, analysis methods, and get expert opinion.</w:t>
      </w:r>
    </w:p>
    <w:p w14:paraId="4E0A7209" w14:textId="77777777" w:rsidR="00CE056F" w:rsidRPr="0084614A" w:rsidRDefault="00CE056F" w:rsidP="00553BCC">
      <w:pPr>
        <w:ind w:firstLine="357"/>
        <w:jc w:val="both"/>
        <w:rPr>
          <w:szCs w:val="22"/>
        </w:rPr>
      </w:pPr>
      <w:r w:rsidRPr="0084614A">
        <w:rPr>
          <w:szCs w:val="22"/>
        </w:rPr>
        <w:t>All interviews were recorded with the permission of the participants, and subsequently translated from Vietnamese into English. The database was initially constructed for each case. Then, each case’s data would be organized, classified, edited and analyzed according to the research objectives.</w:t>
      </w:r>
    </w:p>
    <w:p w14:paraId="01C59386" w14:textId="3A2BA715" w:rsidR="00CE056F" w:rsidRDefault="00CE056F" w:rsidP="00553BCC">
      <w:pPr>
        <w:ind w:firstLine="357"/>
        <w:jc w:val="both"/>
        <w:rPr>
          <w:szCs w:val="22"/>
        </w:rPr>
      </w:pPr>
      <w:r w:rsidRPr="0084614A">
        <w:rPr>
          <w:szCs w:val="22"/>
        </w:rPr>
        <w:t xml:space="preserve">The methods were used in this study, through the study process, empirical analysis and </w:t>
      </w:r>
      <w:proofErr w:type="spellStart"/>
      <w:r w:rsidRPr="0084614A">
        <w:rPr>
          <w:szCs w:val="22"/>
        </w:rPr>
        <w:t>geting</w:t>
      </w:r>
      <w:proofErr w:type="spellEnd"/>
      <w:r w:rsidRPr="0084614A">
        <w:rPr>
          <w:szCs w:val="22"/>
        </w:rPr>
        <w:t xml:space="preserve"> of the specialist’s view, and the analysis has generated reliable factors. These methods based on ICT competence framewo</w:t>
      </w:r>
      <w:r w:rsidR="00D4584A">
        <w:rPr>
          <w:szCs w:val="22"/>
        </w:rPr>
        <w:t xml:space="preserve">rk of UNESCO, ISTE, TPACK, and </w:t>
      </w:r>
      <w:r w:rsidRPr="0084614A">
        <w:rPr>
          <w:szCs w:val="22"/>
        </w:rPr>
        <w:t xml:space="preserve">which were based on obtaining the process of survey data by SPSS version 20, MS Excel 2016 </w:t>
      </w:r>
      <w:proofErr w:type="spellStart"/>
      <w:r w:rsidRPr="0084614A">
        <w:rPr>
          <w:szCs w:val="22"/>
        </w:rPr>
        <w:t>softwares</w:t>
      </w:r>
      <w:proofErr w:type="spellEnd"/>
      <w:r w:rsidRPr="0084614A">
        <w:rPr>
          <w:szCs w:val="22"/>
        </w:rPr>
        <w:t>.</w:t>
      </w:r>
    </w:p>
    <w:p w14:paraId="13B91D67" w14:textId="77777777" w:rsidR="00BA004A" w:rsidRPr="0084614A" w:rsidRDefault="00BA004A" w:rsidP="00553BCC">
      <w:pPr>
        <w:ind w:firstLine="357"/>
        <w:jc w:val="both"/>
        <w:rPr>
          <w:i/>
          <w:szCs w:val="22"/>
        </w:rPr>
      </w:pPr>
      <w:r w:rsidRPr="0084614A">
        <w:rPr>
          <w:i/>
          <w:szCs w:val="22"/>
        </w:rPr>
        <w:t>(1) Sample</w:t>
      </w:r>
    </w:p>
    <w:p w14:paraId="3FA9A1DB" w14:textId="77777777" w:rsidR="00BA004A" w:rsidRPr="0084614A" w:rsidRDefault="00BA004A" w:rsidP="00553BCC">
      <w:pPr>
        <w:ind w:firstLine="357"/>
        <w:jc w:val="both"/>
        <w:rPr>
          <w:szCs w:val="22"/>
        </w:rPr>
      </w:pPr>
      <w:r w:rsidRPr="0084614A">
        <w:rPr>
          <w:szCs w:val="22"/>
        </w:rPr>
        <w:t xml:space="preserve">The research covers all the teachers and undergraduates who study and learn at Education Universities in Vietnam from 2017 – 2018 academic years. The sample group was chosen randomly at 342 among teachers and undergraduates, and 42 expert opinions. </w:t>
      </w:r>
    </w:p>
    <w:p w14:paraId="69B32A32" w14:textId="77777777" w:rsidR="00BA004A" w:rsidRPr="0084614A" w:rsidRDefault="00BA004A" w:rsidP="00553BCC">
      <w:pPr>
        <w:ind w:firstLine="357"/>
        <w:jc w:val="both"/>
        <w:rPr>
          <w:i/>
          <w:szCs w:val="22"/>
        </w:rPr>
      </w:pPr>
      <w:r w:rsidRPr="0084614A">
        <w:rPr>
          <w:i/>
          <w:szCs w:val="22"/>
        </w:rPr>
        <w:t>(2) Procedure</w:t>
      </w:r>
    </w:p>
    <w:p w14:paraId="19669FA0" w14:textId="77777777" w:rsidR="00BA004A" w:rsidRDefault="00BA004A" w:rsidP="00553BCC">
      <w:pPr>
        <w:ind w:firstLine="357"/>
        <w:jc w:val="both"/>
        <w:rPr>
          <w:szCs w:val="22"/>
        </w:rPr>
      </w:pPr>
      <w:r w:rsidRPr="0084614A">
        <w:rPr>
          <w:szCs w:val="22"/>
        </w:rPr>
        <w:t xml:space="preserve">In the research both quantitative and qualitative methods were used. The data was collected through the survey of using IT in the teachers and undergraduates. The survey with sample space (n = 342) was administered to 342 teachers and undergraduates, and 42 expert opinions at Education Universities. In the research, validity was defined according to specialist’s views. The reliability of the competence framework scale was calculated by using Cronbach’s Alpha, and expert opinions. The experimental results from the Cronbach’s Alpha demonstrated that the competencies in the experimental questionnaire were reliable. An overall alpha score for the pilot data was found at 0.791 </w:t>
      </w:r>
      <w:r w:rsidRPr="009A0FC2">
        <w:rPr>
          <w:szCs w:val="22"/>
        </w:rPr>
        <w:t xml:space="preserve">(Table 2), </w:t>
      </w:r>
      <w:r w:rsidRPr="0084614A">
        <w:rPr>
          <w:szCs w:val="22"/>
        </w:rPr>
        <w:t>which indicated a high reliability of the instrument.</w:t>
      </w:r>
    </w:p>
    <w:p w14:paraId="11068057" w14:textId="77777777" w:rsidR="00BA004A" w:rsidRPr="0084614A" w:rsidRDefault="00BA004A" w:rsidP="00553BCC">
      <w:pPr>
        <w:ind w:firstLine="357"/>
        <w:jc w:val="both"/>
        <w:rPr>
          <w:szCs w:val="22"/>
        </w:rPr>
      </w:pPr>
      <w:r w:rsidRPr="0084614A">
        <w:rPr>
          <w:szCs w:val="22"/>
        </w:rPr>
        <w:t>For each variable in one way analysis were applied with SPSS statistical software, and optimal scaling technic was also used to reach detail information related with one of the research question.</w:t>
      </w:r>
    </w:p>
    <w:p w14:paraId="41763A75" w14:textId="77777777" w:rsidR="00BA004A" w:rsidRPr="0084614A" w:rsidRDefault="00BA004A" w:rsidP="00553BCC">
      <w:pPr>
        <w:ind w:firstLine="357"/>
        <w:jc w:val="both"/>
        <w:rPr>
          <w:i/>
          <w:iCs/>
          <w:szCs w:val="22"/>
        </w:rPr>
      </w:pPr>
      <w:r w:rsidRPr="0084614A">
        <w:rPr>
          <w:i/>
          <w:iCs/>
          <w:szCs w:val="22"/>
        </w:rPr>
        <w:t>(3) Descriptive statistics of data</w:t>
      </w:r>
    </w:p>
    <w:p w14:paraId="6FAD84D3" w14:textId="77777777" w:rsidR="00BA004A" w:rsidRDefault="00BA004A" w:rsidP="00553BCC">
      <w:pPr>
        <w:ind w:firstLine="357"/>
        <w:jc w:val="both"/>
        <w:rPr>
          <w:szCs w:val="22"/>
        </w:rPr>
      </w:pPr>
      <w:r w:rsidRPr="0084614A">
        <w:rPr>
          <w:szCs w:val="22"/>
        </w:rPr>
        <w:t>The results were analyzed from the investigation and survey data, with which we assess the needs of applying IT competence and demand has an IT competence fram</w:t>
      </w:r>
      <w:r>
        <w:rPr>
          <w:szCs w:val="22"/>
        </w:rPr>
        <w:t>ework in online teaching</w:t>
      </w:r>
      <w:r w:rsidRPr="009A0FC2">
        <w:rPr>
          <w:szCs w:val="22"/>
        </w:rPr>
        <w:t>;</w:t>
      </w:r>
      <w:r w:rsidRPr="0084614A">
        <w:rPr>
          <w:szCs w:val="22"/>
        </w:rPr>
        <w:t xml:space="preserve"> the core aim of this study is identifying 6 steps building</w:t>
      </w:r>
      <w:r>
        <w:rPr>
          <w:szCs w:val="22"/>
        </w:rPr>
        <w:t xml:space="preserve"> IT competence framework</w:t>
      </w:r>
      <w:r w:rsidRPr="009A0FC2">
        <w:rPr>
          <w:szCs w:val="22"/>
        </w:rPr>
        <w:t>,</w:t>
      </w:r>
      <w:r w:rsidRPr="0084614A">
        <w:rPr>
          <w:szCs w:val="22"/>
        </w:rPr>
        <w:t xml:space="preserve"> structure of</w:t>
      </w:r>
      <w:r>
        <w:rPr>
          <w:szCs w:val="22"/>
        </w:rPr>
        <w:t xml:space="preserve"> IT competence framework </w:t>
      </w:r>
      <w:r w:rsidRPr="009A0FC2">
        <w:rPr>
          <w:szCs w:val="22"/>
        </w:rPr>
        <w:t>(Fig. 2),</w:t>
      </w:r>
      <w:r w:rsidRPr="0084614A">
        <w:rPr>
          <w:szCs w:val="22"/>
        </w:rPr>
        <w:t xml:space="preserve"> and propose the criteria framework of identifying the using IT competence in online teaching of</w:t>
      </w:r>
      <w:r>
        <w:rPr>
          <w:szCs w:val="22"/>
        </w:rPr>
        <w:t xml:space="preserve"> </w:t>
      </w:r>
      <w:r w:rsidRPr="0084614A">
        <w:rPr>
          <w:szCs w:val="22"/>
        </w:rPr>
        <w:t xml:space="preserve">teachers with of 10 component competence groups and 33 indices of corresponding expression </w:t>
      </w:r>
      <w:r w:rsidRPr="009A0FC2">
        <w:rPr>
          <w:szCs w:val="22"/>
        </w:rPr>
        <w:t>(Table 1);</w:t>
      </w:r>
      <w:r w:rsidRPr="0084614A">
        <w:rPr>
          <w:szCs w:val="22"/>
        </w:rPr>
        <w:t xml:space="preserve"> experiment and analysis with t-Test for the applying of IT competence framework </w:t>
      </w:r>
      <w:r w:rsidRPr="009A0FC2">
        <w:rPr>
          <w:szCs w:val="22"/>
        </w:rPr>
        <w:t>(Table 1)</w:t>
      </w:r>
      <w:r w:rsidRPr="0084614A">
        <w:rPr>
          <w:szCs w:val="22"/>
        </w:rPr>
        <w:t xml:space="preserve"> in onlin</w:t>
      </w:r>
      <w:r>
        <w:rPr>
          <w:szCs w:val="22"/>
        </w:rPr>
        <w:t>e teaching as results in Table 5</w:t>
      </w:r>
      <w:r w:rsidRPr="0084614A">
        <w:rPr>
          <w:szCs w:val="22"/>
        </w:rPr>
        <w:t xml:space="preserve"> and </w:t>
      </w:r>
      <w:r w:rsidRPr="009A0FC2">
        <w:rPr>
          <w:szCs w:val="22"/>
        </w:rPr>
        <w:t>Table 8</w:t>
      </w:r>
      <w:r>
        <w:rPr>
          <w:szCs w:val="22"/>
        </w:rPr>
        <w:t>.</w:t>
      </w:r>
    </w:p>
    <w:p w14:paraId="6ECD8930" w14:textId="77777777" w:rsidR="00A74583" w:rsidRDefault="00A74583" w:rsidP="00553BCC">
      <w:pPr>
        <w:ind w:firstLine="357"/>
        <w:jc w:val="both"/>
        <w:rPr>
          <w:szCs w:val="22"/>
        </w:rPr>
      </w:pPr>
    </w:p>
    <w:p w14:paraId="5E14DE10" w14:textId="77777777" w:rsidR="00BA004A" w:rsidRPr="00072769" w:rsidRDefault="00BA004A" w:rsidP="00BA004A">
      <w:pPr>
        <w:spacing w:before="240" w:after="60"/>
        <w:jc w:val="both"/>
        <w:rPr>
          <w:b/>
          <w:sz w:val="24"/>
          <w:szCs w:val="22"/>
        </w:rPr>
      </w:pPr>
      <w:r w:rsidRPr="00072769">
        <w:rPr>
          <w:b/>
          <w:sz w:val="24"/>
          <w:szCs w:val="22"/>
        </w:rPr>
        <w:t xml:space="preserve">4. </w:t>
      </w:r>
      <w:r>
        <w:rPr>
          <w:b/>
          <w:sz w:val="24"/>
          <w:szCs w:val="22"/>
        </w:rPr>
        <w:tab/>
      </w:r>
      <w:r w:rsidRPr="00072769">
        <w:rPr>
          <w:b/>
          <w:sz w:val="24"/>
          <w:szCs w:val="22"/>
        </w:rPr>
        <w:t>Results</w:t>
      </w:r>
    </w:p>
    <w:p w14:paraId="6197EDBE" w14:textId="77777777" w:rsidR="00BA004A" w:rsidRPr="00A379FE" w:rsidRDefault="00BA004A" w:rsidP="0016261F">
      <w:pPr>
        <w:spacing w:before="120" w:after="60"/>
        <w:jc w:val="both"/>
        <w:rPr>
          <w:b/>
          <w:sz w:val="24"/>
          <w:szCs w:val="22"/>
        </w:rPr>
      </w:pPr>
      <w:r w:rsidRPr="00A379FE">
        <w:rPr>
          <w:b/>
          <w:sz w:val="24"/>
          <w:szCs w:val="22"/>
        </w:rPr>
        <w:t>4.1</w:t>
      </w:r>
      <w:r w:rsidRPr="00A379FE">
        <w:rPr>
          <w:b/>
          <w:sz w:val="24"/>
          <w:szCs w:val="22"/>
        </w:rPr>
        <w:tab/>
        <w:t>Current Situation of IT Applying in Online Teaching</w:t>
      </w:r>
    </w:p>
    <w:p w14:paraId="1C887B60" w14:textId="77777777" w:rsidR="00BA004A" w:rsidRDefault="00BA004A" w:rsidP="00BA004A">
      <w:pPr>
        <w:jc w:val="both"/>
        <w:rPr>
          <w:szCs w:val="22"/>
        </w:rPr>
      </w:pPr>
      <w:r w:rsidRPr="0084614A">
        <w:rPr>
          <w:szCs w:val="22"/>
        </w:rPr>
        <w:t>In recent years, computer technology has been increasingly utilized for educational settings. Undergraduates are substantially involved in technology indoors and outdoors of the classrooms. Within the environmental conditions that the speed and substructure of internet networks, and digital technologies rapidly change and improve, technology cannot be considered separately from education (</w:t>
      </w:r>
      <w:proofErr w:type="spellStart"/>
      <w:r w:rsidRPr="0084614A">
        <w:rPr>
          <w:szCs w:val="22"/>
        </w:rPr>
        <w:t>Semiz</w:t>
      </w:r>
      <w:proofErr w:type="spellEnd"/>
      <w:r w:rsidRPr="0084614A">
        <w:rPr>
          <w:szCs w:val="22"/>
        </w:rPr>
        <w:t>, 2011). Most schools have been built according to computer technology needs and equipped with necessary hardware, software and network infrastructure for the internet access.</w:t>
      </w:r>
    </w:p>
    <w:p w14:paraId="3AF1D430" w14:textId="77777777" w:rsidR="00BA004A" w:rsidRDefault="00BA004A" w:rsidP="00382F14">
      <w:pPr>
        <w:ind w:firstLine="357"/>
        <w:jc w:val="both"/>
        <w:rPr>
          <w:szCs w:val="22"/>
        </w:rPr>
      </w:pPr>
      <w:r w:rsidRPr="0084614A">
        <w:rPr>
          <w:szCs w:val="22"/>
        </w:rPr>
        <w:t>Practical survey: Surveyed on 342 teachers and undergraduates at colleges and education universities in Vietnam. Survey forms: questionnaires, live interviews and online surveys (via google docs form</w:t>
      </w:r>
      <w:r>
        <w:rPr>
          <w:szCs w:val="22"/>
        </w:rPr>
        <w:t xml:space="preserve">s, </w:t>
      </w:r>
      <w:proofErr w:type="spellStart"/>
      <w:r>
        <w:rPr>
          <w:szCs w:val="22"/>
        </w:rPr>
        <w:t>zalo</w:t>
      </w:r>
      <w:proofErr w:type="spellEnd"/>
      <w:r>
        <w:rPr>
          <w:szCs w:val="22"/>
        </w:rPr>
        <w:t xml:space="preserve">, </w:t>
      </w:r>
      <w:proofErr w:type="spellStart"/>
      <w:r>
        <w:rPr>
          <w:szCs w:val="22"/>
        </w:rPr>
        <w:t>viber</w:t>
      </w:r>
      <w:proofErr w:type="spellEnd"/>
      <w:r>
        <w:rPr>
          <w:szCs w:val="22"/>
        </w:rPr>
        <w:t xml:space="preserve"> and other media).</w:t>
      </w:r>
    </w:p>
    <w:p w14:paraId="6A6605C2" w14:textId="77777777" w:rsidR="00BA004A" w:rsidRDefault="00BA004A" w:rsidP="00382F14">
      <w:pPr>
        <w:ind w:firstLine="357"/>
        <w:jc w:val="both"/>
        <w:rPr>
          <w:szCs w:val="22"/>
        </w:rPr>
      </w:pPr>
      <w:r w:rsidRPr="0079240B">
        <w:rPr>
          <w:szCs w:val="22"/>
        </w:rPr>
        <w:t xml:space="preserve">Survey results the levels apply IT of teacher in online teaching achieved: average rate 85% ability to use internet services in online teaching, 89% ability to integrate new </w:t>
      </w:r>
      <w:proofErr w:type="spellStart"/>
      <w:r w:rsidRPr="0079240B">
        <w:rPr>
          <w:szCs w:val="22"/>
        </w:rPr>
        <w:t>tchnology</w:t>
      </w:r>
      <w:proofErr w:type="spellEnd"/>
      <w:r w:rsidRPr="0079240B">
        <w:rPr>
          <w:szCs w:val="22"/>
        </w:rPr>
        <w:t xml:space="preserve"> with </w:t>
      </w:r>
      <w:proofErr w:type="spellStart"/>
      <w:r w:rsidRPr="0079240B">
        <w:rPr>
          <w:szCs w:val="22"/>
        </w:rPr>
        <w:t>pedagory</w:t>
      </w:r>
      <w:proofErr w:type="spellEnd"/>
      <w:r w:rsidRPr="0079240B">
        <w:rPr>
          <w:szCs w:val="22"/>
        </w:rPr>
        <w:t xml:space="preserve">, 87% </w:t>
      </w:r>
      <w:proofErr w:type="spellStart"/>
      <w:r w:rsidRPr="0079240B">
        <w:rPr>
          <w:szCs w:val="22"/>
        </w:rPr>
        <w:t>extently</w:t>
      </w:r>
      <w:proofErr w:type="spellEnd"/>
      <w:r w:rsidRPr="0079240B">
        <w:rPr>
          <w:szCs w:val="22"/>
        </w:rPr>
        <w:t xml:space="preserve"> of application and development of IT competence in online teaching</w:t>
      </w:r>
      <w:r w:rsidR="00470C63">
        <w:rPr>
          <w:szCs w:val="22"/>
        </w:rPr>
        <w:t>.</w:t>
      </w:r>
    </w:p>
    <w:p w14:paraId="66F7D8E3" w14:textId="77777777" w:rsidR="00470C63" w:rsidRPr="0084614A" w:rsidRDefault="00470C63" w:rsidP="00382F14">
      <w:pPr>
        <w:ind w:firstLine="357"/>
        <w:jc w:val="both"/>
        <w:rPr>
          <w:szCs w:val="22"/>
        </w:rPr>
      </w:pPr>
      <w:r w:rsidRPr="0084614A">
        <w:rPr>
          <w:szCs w:val="22"/>
        </w:rPr>
        <w:t xml:space="preserve">Through analysis of </w:t>
      </w:r>
      <w:r>
        <w:rPr>
          <w:szCs w:val="22"/>
        </w:rPr>
        <w:t xml:space="preserve">survey </w:t>
      </w:r>
      <w:r w:rsidRPr="0084614A">
        <w:rPr>
          <w:szCs w:val="22"/>
        </w:rPr>
        <w:t xml:space="preserve">results, it can be seen that the number of teachers applying technology to teach and communicate with colleagues and students is </w:t>
      </w:r>
      <w:r>
        <w:rPr>
          <w:szCs w:val="22"/>
        </w:rPr>
        <w:t>quite</w:t>
      </w:r>
      <w:r w:rsidRPr="0084614A">
        <w:rPr>
          <w:szCs w:val="22"/>
        </w:rPr>
        <w:t xml:space="preserve"> </w:t>
      </w:r>
      <w:r>
        <w:rPr>
          <w:szCs w:val="22"/>
        </w:rPr>
        <w:t>good</w:t>
      </w:r>
      <w:r w:rsidRPr="0084614A">
        <w:rPr>
          <w:szCs w:val="22"/>
        </w:rPr>
        <w:t xml:space="preserve">. The need of using IT competence framework in online teaching: The issues were investigated include: (1) the urgency of introduction of using IT competence framework for teachers, (2) Self-assessment of proficiency in using the IT </w:t>
      </w:r>
      <w:proofErr w:type="spellStart"/>
      <w:r w:rsidRPr="0084614A">
        <w:rPr>
          <w:szCs w:val="22"/>
        </w:rPr>
        <w:t>equipments</w:t>
      </w:r>
      <w:proofErr w:type="spellEnd"/>
      <w:r w:rsidRPr="0084614A">
        <w:rPr>
          <w:szCs w:val="22"/>
        </w:rPr>
        <w:t xml:space="preserve"> in teaching, (3) Assessment of coherence between teaching methods and the use of IT in teaching, (4) Assessment the level of applying IT in teaching, from data storage, communication to exploitation of online resources.</w:t>
      </w:r>
    </w:p>
    <w:p w14:paraId="4D486E81" w14:textId="77777777" w:rsidR="00470C63" w:rsidRPr="0084614A" w:rsidRDefault="00470C63" w:rsidP="00382F14">
      <w:pPr>
        <w:ind w:firstLine="357"/>
        <w:jc w:val="both"/>
        <w:rPr>
          <w:szCs w:val="22"/>
          <w:lang w:val="vi-VN"/>
        </w:rPr>
      </w:pPr>
      <w:r w:rsidRPr="0084614A">
        <w:rPr>
          <w:szCs w:val="22"/>
        </w:rPr>
        <w:lastRenderedPageBreak/>
        <w:t>Survey results demand for IT competence framework of teachers in online teaching:</w:t>
      </w:r>
      <w:r>
        <w:rPr>
          <w:szCs w:val="22"/>
        </w:rPr>
        <w:t xml:space="preserve"> </w:t>
      </w:r>
      <w:r w:rsidRPr="0084614A">
        <w:rPr>
          <w:szCs w:val="22"/>
          <w:lang w:val="vi-VN"/>
        </w:rPr>
        <w:t xml:space="preserve">The results show that the majority of teachers (80%) determine the necessary and </w:t>
      </w:r>
      <w:r w:rsidRPr="0084614A">
        <w:rPr>
          <w:szCs w:val="22"/>
        </w:rPr>
        <w:t xml:space="preserve">very </w:t>
      </w:r>
      <w:r w:rsidRPr="0084614A">
        <w:rPr>
          <w:szCs w:val="22"/>
          <w:lang w:val="vi-VN"/>
        </w:rPr>
        <w:t>necessary for the IT competence framework used in teaching towards developing the IT competence of teachers necessary in online teaching.</w:t>
      </w:r>
    </w:p>
    <w:p w14:paraId="6EC4363C" w14:textId="77777777" w:rsidR="00470C63" w:rsidRDefault="00470C63" w:rsidP="00382F14">
      <w:pPr>
        <w:ind w:firstLine="357"/>
        <w:jc w:val="both"/>
        <w:rPr>
          <w:szCs w:val="22"/>
        </w:rPr>
      </w:pPr>
      <w:r w:rsidRPr="0084614A">
        <w:rPr>
          <w:i/>
          <w:szCs w:val="22"/>
        </w:rPr>
        <w:t>Assessment</w:t>
      </w:r>
      <w:r w:rsidRPr="0084614A">
        <w:rPr>
          <w:szCs w:val="22"/>
        </w:rPr>
        <w:t>: Most teachers are aware of the importance of applying IT in online teaching with the trend of digital age; There should be a standard framework for assessing of using IT competence for teachers. In addition, instructors need to know the combination of teaching methods and the use of IT in online teaching; Teachers need to know how to use IT to store, communicate with colleagues, and use IT resources to improve their teaching effectiveness</w:t>
      </w:r>
      <w:r>
        <w:rPr>
          <w:szCs w:val="22"/>
        </w:rPr>
        <w:t>.</w:t>
      </w:r>
    </w:p>
    <w:p w14:paraId="786180CC" w14:textId="77777777" w:rsidR="00470C63" w:rsidRPr="00382F14" w:rsidRDefault="00470C63" w:rsidP="00382F14">
      <w:pPr>
        <w:spacing w:before="240" w:after="60"/>
        <w:jc w:val="both"/>
        <w:rPr>
          <w:b/>
          <w:sz w:val="24"/>
          <w:szCs w:val="22"/>
        </w:rPr>
      </w:pPr>
      <w:r w:rsidRPr="00382F14">
        <w:rPr>
          <w:b/>
          <w:sz w:val="24"/>
          <w:szCs w:val="22"/>
        </w:rPr>
        <w:t>4.2</w:t>
      </w:r>
      <w:r w:rsidRPr="00382F14">
        <w:rPr>
          <w:b/>
          <w:sz w:val="24"/>
          <w:szCs w:val="22"/>
        </w:rPr>
        <w:tab/>
        <w:t>Identifying the Using IT Competence Framework in Online Teaching</w:t>
      </w:r>
    </w:p>
    <w:p w14:paraId="4F970C9E" w14:textId="77777777" w:rsidR="00470C63" w:rsidRPr="0084614A" w:rsidRDefault="00470C63" w:rsidP="00470C63">
      <w:pPr>
        <w:jc w:val="both"/>
        <w:rPr>
          <w:i/>
          <w:szCs w:val="22"/>
        </w:rPr>
      </w:pPr>
      <w:r w:rsidRPr="0084614A">
        <w:rPr>
          <w:i/>
          <w:szCs w:val="22"/>
        </w:rPr>
        <w:t>Principles of Identifying Competence in Online Teaching</w:t>
      </w:r>
    </w:p>
    <w:p w14:paraId="70CBE2A3" w14:textId="77777777" w:rsidR="00470C63" w:rsidRDefault="00470C63" w:rsidP="00382F14">
      <w:pPr>
        <w:ind w:firstLine="357"/>
        <w:jc w:val="both"/>
        <w:rPr>
          <w:szCs w:val="22"/>
        </w:rPr>
      </w:pPr>
      <w:r w:rsidRPr="0084614A">
        <w:rPr>
          <w:szCs w:val="22"/>
        </w:rPr>
        <w:t>A number of studies shows that teaching methods are effective in online learning environments with the organizational manners and competence requirements for online courses. Online teaching, online education, online tutorials and online courses are used interchangeably in the online teaching methodology (Sun, A., &amp; Chen, X., 2016)</w:t>
      </w:r>
      <w:r>
        <w:rPr>
          <w:szCs w:val="22"/>
        </w:rPr>
        <w:t>.</w:t>
      </w:r>
    </w:p>
    <w:p w14:paraId="58C26DDE" w14:textId="77777777" w:rsidR="00470C63" w:rsidRPr="0084614A" w:rsidRDefault="00470C63" w:rsidP="00382F14">
      <w:pPr>
        <w:ind w:firstLine="357"/>
        <w:jc w:val="both"/>
        <w:rPr>
          <w:szCs w:val="22"/>
        </w:rPr>
      </w:pPr>
      <w:r w:rsidRPr="0084614A">
        <w:rPr>
          <w:szCs w:val="22"/>
        </w:rPr>
        <w:t>Gascoigne C. &amp; Parnell (2014) researched in technology and teaching methods that focus on core skills in online teaching organization, including: (1) technology, (2) pedagogy, and (3) administrative competence.</w:t>
      </w:r>
    </w:p>
    <w:p w14:paraId="35FDB1CB" w14:textId="77777777" w:rsidR="00470C63" w:rsidRPr="0084614A" w:rsidRDefault="00470C63" w:rsidP="00382F14">
      <w:pPr>
        <w:widowControl w:val="0"/>
        <w:ind w:firstLine="357"/>
        <w:jc w:val="both"/>
        <w:rPr>
          <w:szCs w:val="22"/>
        </w:rPr>
      </w:pPr>
      <w:r w:rsidRPr="0084614A">
        <w:rPr>
          <w:szCs w:val="22"/>
        </w:rPr>
        <w:t>+ Technology and social communication skills: Technological skills are fundamental, and although social communication skills are not essential, it enhances the ability to connect with the instructor's students. Skills include: basic computer skills, proficiency in software applications, software installation/updating, internet search capabilities, proficiency with features, communication platforms and functions in the learning management system.</w:t>
      </w:r>
    </w:p>
    <w:p w14:paraId="609A91E9" w14:textId="77777777" w:rsidR="00470C63" w:rsidRDefault="00470C63" w:rsidP="00382F14">
      <w:pPr>
        <w:ind w:firstLine="357"/>
        <w:jc w:val="both"/>
        <w:rPr>
          <w:szCs w:val="22"/>
        </w:rPr>
      </w:pPr>
      <w:r w:rsidRPr="0084614A">
        <w:rPr>
          <w:szCs w:val="22"/>
        </w:rPr>
        <w:t>+ Management and organizational skills: Skills such as time management, providing constructive feedback on students' assignments, proficiency in the content of the course and the ability to submit grades upon request, in accordance with track academic integrity issues</w:t>
      </w:r>
      <w:r>
        <w:rPr>
          <w:szCs w:val="22"/>
        </w:rPr>
        <w:t>.</w:t>
      </w:r>
    </w:p>
    <w:p w14:paraId="24DC7754" w14:textId="77777777" w:rsidR="00470C63" w:rsidRPr="0084614A" w:rsidRDefault="00470C63" w:rsidP="00382F14">
      <w:pPr>
        <w:ind w:firstLine="357"/>
        <w:jc w:val="both"/>
        <w:rPr>
          <w:szCs w:val="22"/>
        </w:rPr>
      </w:pPr>
      <w:r w:rsidRPr="0084614A">
        <w:rPr>
          <w:szCs w:val="22"/>
        </w:rPr>
        <w:t>+ Pedagogical skills and teaching methods: Centralized learning models, content-guided instruction and learning guides do not provide content, providing feedback on building, establishing and maintaining online presence.</w:t>
      </w:r>
    </w:p>
    <w:p w14:paraId="38DAA9A2" w14:textId="77777777" w:rsidR="00470C63" w:rsidRDefault="00470C63" w:rsidP="00382F14">
      <w:pPr>
        <w:ind w:firstLine="357"/>
        <w:jc w:val="both"/>
        <w:rPr>
          <w:szCs w:val="22"/>
        </w:rPr>
      </w:pPr>
      <w:r w:rsidRPr="0084614A">
        <w:rPr>
          <w:szCs w:val="22"/>
        </w:rPr>
        <w:t xml:space="preserve">Paula </w:t>
      </w:r>
      <w:proofErr w:type="spellStart"/>
      <w:r w:rsidRPr="0084614A">
        <w:rPr>
          <w:szCs w:val="22"/>
        </w:rPr>
        <w:t>Bigatel</w:t>
      </w:r>
      <w:proofErr w:type="spellEnd"/>
      <w:r w:rsidRPr="0084614A">
        <w:rPr>
          <w:szCs w:val="22"/>
        </w:rPr>
        <w:t xml:space="preserve"> et al, (2010) have identified the potential for success in online teaching, which 7-point rule of effective teaching with the online teaching success: 1). Encourage contact between students and faculty, 2). Develop reciprocity and cooperation among students, 3). Encourage active learning, 4). Give prompt feedback, 5). Emphasize time on task, 6). Communicate high expectations, 7). Respect diverse talents and ways of learning. Teacher needs competence: In the knowledge creation approach will be able to design learning based on IT resources and environment; use IT to support the development of knowledge creation and critical thinking skills of students; assists students continuously, effectively learning and creating knowledge communities for students and colleagues</w:t>
      </w:r>
      <w:r>
        <w:rPr>
          <w:szCs w:val="22"/>
        </w:rPr>
        <w:t>.</w:t>
      </w:r>
    </w:p>
    <w:p w14:paraId="37AA76B5" w14:textId="77777777" w:rsidR="00470C63" w:rsidRDefault="00470C63" w:rsidP="00470C63">
      <w:pPr>
        <w:ind w:firstLine="284"/>
        <w:jc w:val="both"/>
        <w:rPr>
          <w:szCs w:val="22"/>
        </w:rPr>
      </w:pPr>
    </w:p>
    <w:p w14:paraId="2198C2D7" w14:textId="77777777" w:rsidR="00470C63" w:rsidRPr="0084614A" w:rsidRDefault="00470C63" w:rsidP="00470C63">
      <w:pPr>
        <w:jc w:val="both"/>
        <w:rPr>
          <w:i/>
          <w:szCs w:val="22"/>
        </w:rPr>
      </w:pPr>
      <w:r w:rsidRPr="0084614A">
        <w:rPr>
          <w:i/>
          <w:szCs w:val="22"/>
        </w:rPr>
        <w:t>Proposing the Criteria of Identifying IT Competence Framework in Online Teaching</w:t>
      </w:r>
    </w:p>
    <w:p w14:paraId="7C7777B6" w14:textId="77777777" w:rsidR="00470C63" w:rsidRDefault="00470C63" w:rsidP="00382F14">
      <w:pPr>
        <w:ind w:firstLine="357"/>
        <w:jc w:val="both"/>
        <w:rPr>
          <w:szCs w:val="22"/>
        </w:rPr>
      </w:pPr>
      <w:r w:rsidRPr="0084614A">
        <w:rPr>
          <w:szCs w:val="22"/>
        </w:rPr>
        <w:t xml:space="preserve">One of the implications of the growth in the practice of </w:t>
      </w:r>
      <w:proofErr w:type="spellStart"/>
      <w:r w:rsidRPr="0084614A">
        <w:rPr>
          <w:szCs w:val="22"/>
        </w:rPr>
        <w:t>telecollaboration</w:t>
      </w:r>
      <w:proofErr w:type="spellEnd"/>
      <w:r w:rsidRPr="0084614A">
        <w:rPr>
          <w:szCs w:val="22"/>
        </w:rPr>
        <w:t xml:space="preserve"> is its inclusion in teacher education programs, particularly CMC teacher education approaches based on social constructivist views of teacher education in development teaching competence (Dooly, M., 2009, 2010; </w:t>
      </w:r>
      <w:proofErr w:type="spellStart"/>
      <w:r w:rsidRPr="0084614A">
        <w:rPr>
          <w:szCs w:val="22"/>
        </w:rPr>
        <w:t>Guichon</w:t>
      </w:r>
      <w:proofErr w:type="spellEnd"/>
      <w:r w:rsidRPr="0084614A">
        <w:rPr>
          <w:szCs w:val="22"/>
        </w:rPr>
        <w:t xml:space="preserve">, N., &amp; Hauck, M., 2011). This kind of experience has been found to foster the development of multimodal communicative competence, </w:t>
      </w:r>
      <w:proofErr w:type="spellStart"/>
      <w:r w:rsidRPr="0084614A">
        <w:rPr>
          <w:szCs w:val="22"/>
        </w:rPr>
        <w:t>multiliteracy</w:t>
      </w:r>
      <w:proofErr w:type="spellEnd"/>
      <w:r w:rsidRPr="0084614A">
        <w:rPr>
          <w:szCs w:val="22"/>
        </w:rPr>
        <w:t>, autonomy, and the teacher competences required for teaching with multimodal technologies (Fuchs, C. et al.’s, 2012)</w:t>
      </w:r>
      <w:r>
        <w:rPr>
          <w:szCs w:val="22"/>
        </w:rPr>
        <w:t>.</w:t>
      </w:r>
    </w:p>
    <w:p w14:paraId="0E387782" w14:textId="77777777" w:rsidR="003E35BB" w:rsidRPr="0084614A" w:rsidRDefault="003E35BB" w:rsidP="00382F14">
      <w:pPr>
        <w:ind w:firstLine="357"/>
        <w:jc w:val="both"/>
        <w:rPr>
          <w:i/>
          <w:szCs w:val="22"/>
        </w:rPr>
      </w:pPr>
      <w:r w:rsidRPr="0084614A">
        <w:rPr>
          <w:szCs w:val="22"/>
        </w:rPr>
        <w:t>The IT competency model identifies the knowledge, skills, and abilities deemed necessary for workers to perform successfully in the field of IT. This work was one of many sources that provided a foundation for the teaching curricular guidance (U.S. Department of Labor, 2012).</w:t>
      </w:r>
    </w:p>
    <w:p w14:paraId="274D6968" w14:textId="77777777" w:rsidR="003E35BB" w:rsidRPr="0084614A" w:rsidRDefault="003E35BB" w:rsidP="00382F14">
      <w:pPr>
        <w:ind w:firstLine="357"/>
        <w:jc w:val="both"/>
        <w:rPr>
          <w:szCs w:val="22"/>
        </w:rPr>
      </w:pPr>
      <w:r w:rsidRPr="0084614A">
        <w:rPr>
          <w:szCs w:val="22"/>
        </w:rPr>
        <w:t xml:space="preserve">According to </w:t>
      </w:r>
      <w:proofErr w:type="spellStart"/>
      <w:r w:rsidRPr="0084614A">
        <w:rPr>
          <w:szCs w:val="22"/>
        </w:rPr>
        <w:t>Keengwe</w:t>
      </w:r>
      <w:proofErr w:type="spellEnd"/>
      <w:r w:rsidRPr="0084614A">
        <w:rPr>
          <w:szCs w:val="22"/>
        </w:rPr>
        <w:t xml:space="preserve"> &amp; Kidd (2010), the course design process has 5 stages: (1) content design; (2) content development; (3) content implementation; (4) course assessment; (5) modify the content.</w:t>
      </w:r>
    </w:p>
    <w:p w14:paraId="5FD17094" w14:textId="77777777" w:rsidR="00470C63" w:rsidRDefault="003E35BB" w:rsidP="00382F14">
      <w:pPr>
        <w:ind w:firstLine="357"/>
        <w:jc w:val="both"/>
        <w:rPr>
          <w:szCs w:val="22"/>
        </w:rPr>
      </w:pPr>
      <w:r w:rsidRPr="0084614A">
        <w:rPr>
          <w:szCs w:val="22"/>
        </w:rPr>
        <w:t>Research on materials related to the using of IT competence framework in teaching and the criteria in assessing the using of IT in online teaching. In order to build the IT competence framework in line with the online education and to approach the international trend, we will base on the following principal bases</w:t>
      </w:r>
      <w:r>
        <w:rPr>
          <w:szCs w:val="22"/>
        </w:rPr>
        <w:t>:</w:t>
      </w:r>
    </w:p>
    <w:p w14:paraId="00D8C7A5" w14:textId="77777777" w:rsidR="003E35BB" w:rsidRPr="0084614A" w:rsidRDefault="003E35BB" w:rsidP="00382F14">
      <w:pPr>
        <w:ind w:firstLine="357"/>
        <w:jc w:val="both"/>
        <w:rPr>
          <w:szCs w:val="22"/>
        </w:rPr>
      </w:pPr>
      <w:r w:rsidRPr="0084614A">
        <w:rPr>
          <w:szCs w:val="22"/>
        </w:rPr>
        <w:t>1)  ICT competence framework for teachers by UNESCO</w:t>
      </w:r>
    </w:p>
    <w:p w14:paraId="176FAB4F" w14:textId="77777777" w:rsidR="003E35BB" w:rsidRPr="0084614A" w:rsidRDefault="003E35BB" w:rsidP="00382F14">
      <w:pPr>
        <w:ind w:firstLine="357"/>
        <w:jc w:val="both"/>
        <w:rPr>
          <w:szCs w:val="22"/>
        </w:rPr>
      </w:pPr>
      <w:r w:rsidRPr="0084614A">
        <w:rPr>
          <w:szCs w:val="22"/>
        </w:rPr>
        <w:t>2)  TPACK model theoretical framework</w:t>
      </w:r>
    </w:p>
    <w:p w14:paraId="320BA92D" w14:textId="77777777" w:rsidR="003E35BB" w:rsidRPr="0084614A" w:rsidRDefault="003E35BB" w:rsidP="00382F14">
      <w:pPr>
        <w:ind w:firstLine="357"/>
        <w:jc w:val="both"/>
        <w:rPr>
          <w:szCs w:val="22"/>
        </w:rPr>
      </w:pPr>
      <w:r w:rsidRPr="0084614A">
        <w:rPr>
          <w:szCs w:val="22"/>
        </w:rPr>
        <w:t>3)  Standards technology skill of ISTE organization</w:t>
      </w:r>
    </w:p>
    <w:p w14:paraId="04660086" w14:textId="77777777" w:rsidR="003E35BB" w:rsidRPr="0084614A" w:rsidRDefault="003E35BB" w:rsidP="00382F14">
      <w:pPr>
        <w:ind w:firstLine="357"/>
        <w:jc w:val="both"/>
        <w:rPr>
          <w:szCs w:val="22"/>
        </w:rPr>
      </w:pPr>
      <w:r w:rsidRPr="0084614A">
        <w:rPr>
          <w:szCs w:val="22"/>
        </w:rPr>
        <w:t xml:space="preserve">4)  Developed the framework with IT </w:t>
      </w:r>
      <w:proofErr w:type="spellStart"/>
      <w:r w:rsidRPr="0084614A">
        <w:rPr>
          <w:szCs w:val="22"/>
        </w:rPr>
        <w:t>comptence</w:t>
      </w:r>
      <w:proofErr w:type="spellEnd"/>
      <w:r w:rsidRPr="0084614A">
        <w:rPr>
          <w:szCs w:val="22"/>
        </w:rPr>
        <w:t xml:space="preserve"> of ETS organization </w:t>
      </w:r>
    </w:p>
    <w:p w14:paraId="582ED65A" w14:textId="77777777" w:rsidR="003E35BB" w:rsidRPr="0084614A" w:rsidRDefault="003E35BB" w:rsidP="00382F14">
      <w:pPr>
        <w:ind w:firstLine="357"/>
        <w:jc w:val="both"/>
        <w:rPr>
          <w:szCs w:val="22"/>
        </w:rPr>
      </w:pPr>
      <w:r w:rsidRPr="0084614A">
        <w:rPr>
          <w:szCs w:val="22"/>
        </w:rPr>
        <w:t>5)  IT Law</w:t>
      </w:r>
    </w:p>
    <w:p w14:paraId="17E22FB3" w14:textId="77777777" w:rsidR="003E35BB" w:rsidRPr="0084614A" w:rsidRDefault="003E35BB" w:rsidP="00382F14">
      <w:pPr>
        <w:ind w:firstLine="357"/>
        <w:jc w:val="both"/>
        <w:rPr>
          <w:szCs w:val="22"/>
        </w:rPr>
      </w:pPr>
      <w:r w:rsidRPr="0084614A">
        <w:rPr>
          <w:szCs w:val="22"/>
        </w:rPr>
        <w:t xml:space="preserve">6)  IT competence building program of </w:t>
      </w:r>
      <w:proofErr w:type="spellStart"/>
      <w:r w:rsidRPr="0084614A">
        <w:rPr>
          <w:szCs w:val="22"/>
        </w:rPr>
        <w:t>MoIC</w:t>
      </w:r>
      <w:proofErr w:type="spellEnd"/>
    </w:p>
    <w:p w14:paraId="5B4C9E86" w14:textId="77777777" w:rsidR="003E35BB" w:rsidRPr="0084614A" w:rsidRDefault="003E35BB" w:rsidP="00382F14">
      <w:pPr>
        <w:ind w:firstLine="357"/>
        <w:jc w:val="both"/>
        <w:rPr>
          <w:szCs w:val="22"/>
        </w:rPr>
      </w:pPr>
      <w:r w:rsidRPr="0084614A">
        <w:rPr>
          <w:szCs w:val="22"/>
        </w:rPr>
        <w:t xml:space="preserve">7)  Regulations on the application of IT in teaching by </w:t>
      </w:r>
      <w:proofErr w:type="spellStart"/>
      <w:r w:rsidRPr="0084614A">
        <w:rPr>
          <w:szCs w:val="22"/>
        </w:rPr>
        <w:t>MoET</w:t>
      </w:r>
      <w:proofErr w:type="spellEnd"/>
    </w:p>
    <w:p w14:paraId="256A52DF" w14:textId="77777777" w:rsidR="003E35BB" w:rsidRPr="0084614A" w:rsidRDefault="003E35BB" w:rsidP="00382F14">
      <w:pPr>
        <w:ind w:firstLine="357"/>
        <w:jc w:val="both"/>
        <w:rPr>
          <w:szCs w:val="22"/>
        </w:rPr>
      </w:pPr>
      <w:r w:rsidRPr="0084614A">
        <w:rPr>
          <w:szCs w:val="22"/>
        </w:rPr>
        <w:t>8)  Output standard of students in the training program pedagogical universities</w:t>
      </w:r>
    </w:p>
    <w:p w14:paraId="7AFA06D5" w14:textId="77777777" w:rsidR="003E35BB" w:rsidRPr="0084614A" w:rsidRDefault="003E35BB" w:rsidP="00382F14">
      <w:pPr>
        <w:ind w:firstLine="357"/>
        <w:jc w:val="both"/>
        <w:rPr>
          <w:szCs w:val="22"/>
        </w:rPr>
      </w:pPr>
      <w:r w:rsidRPr="0084614A">
        <w:rPr>
          <w:szCs w:val="22"/>
        </w:rPr>
        <w:t>9)  Characteristics of online learning model</w:t>
      </w:r>
    </w:p>
    <w:p w14:paraId="64E500B4" w14:textId="77777777" w:rsidR="003E35BB" w:rsidRPr="0084614A" w:rsidRDefault="003E35BB" w:rsidP="00382F14">
      <w:pPr>
        <w:ind w:firstLine="357"/>
        <w:jc w:val="both"/>
        <w:rPr>
          <w:szCs w:val="22"/>
        </w:rPr>
      </w:pPr>
      <w:r w:rsidRPr="0084614A">
        <w:rPr>
          <w:szCs w:val="22"/>
        </w:rPr>
        <w:t>10) Technology and IT factors in online teaching</w:t>
      </w:r>
    </w:p>
    <w:p w14:paraId="4058E5D0" w14:textId="77777777" w:rsidR="003E35BB" w:rsidRPr="0084614A" w:rsidRDefault="003E35BB" w:rsidP="00382F14">
      <w:pPr>
        <w:ind w:firstLine="357"/>
        <w:jc w:val="both"/>
        <w:rPr>
          <w:szCs w:val="22"/>
        </w:rPr>
      </w:pPr>
      <w:r w:rsidRPr="0084614A">
        <w:rPr>
          <w:szCs w:val="22"/>
        </w:rPr>
        <w:t>11) Some typical researches on frameworks, sets of competence criteria using IT in teaching</w:t>
      </w:r>
    </w:p>
    <w:p w14:paraId="2D753009" w14:textId="77777777" w:rsidR="003E35BB" w:rsidRDefault="003E35BB" w:rsidP="00382F14">
      <w:pPr>
        <w:ind w:firstLine="357"/>
        <w:jc w:val="both"/>
        <w:rPr>
          <w:szCs w:val="22"/>
        </w:rPr>
      </w:pPr>
      <w:r w:rsidRPr="0084614A">
        <w:rPr>
          <w:szCs w:val="22"/>
        </w:rPr>
        <w:t>The bases are the main basis for evaluating the competence using IT in teaching and defining the IT competence framework for teachers in the online teaching</w:t>
      </w:r>
      <w:r>
        <w:rPr>
          <w:szCs w:val="22"/>
        </w:rPr>
        <w:t>.</w:t>
      </w:r>
    </w:p>
    <w:p w14:paraId="03C08A16" w14:textId="77777777" w:rsidR="003E35BB" w:rsidRDefault="003E35BB" w:rsidP="00382F14">
      <w:pPr>
        <w:ind w:firstLine="357"/>
        <w:jc w:val="both"/>
        <w:rPr>
          <w:i/>
          <w:szCs w:val="22"/>
        </w:rPr>
      </w:pPr>
      <w:r w:rsidRPr="0084614A">
        <w:rPr>
          <w:szCs w:val="22"/>
        </w:rPr>
        <w:lastRenderedPageBreak/>
        <w:t>Through research, practical assessment of the application of IT in teaching and the need of using IT competence in teaching and online teaching, we propose a process for identify the IT competence framework for teachers in online teaching including 6 steps after:</w:t>
      </w:r>
      <w:r>
        <w:rPr>
          <w:szCs w:val="22"/>
        </w:rPr>
        <w:t xml:space="preserve"> </w:t>
      </w:r>
      <w:r w:rsidRPr="00D4781C">
        <w:rPr>
          <w:i/>
          <w:szCs w:val="22"/>
        </w:rPr>
        <w:t xml:space="preserve">(1)-Identify bases for competence </w:t>
      </w:r>
      <w:proofErr w:type="spellStart"/>
      <w:r w:rsidRPr="00D4781C">
        <w:rPr>
          <w:i/>
          <w:szCs w:val="22"/>
        </w:rPr>
        <w:t>buiding</w:t>
      </w:r>
      <w:proofErr w:type="spellEnd"/>
      <w:r w:rsidRPr="00D4781C">
        <w:rPr>
          <w:i/>
          <w:szCs w:val="22"/>
        </w:rPr>
        <w:t>, (2)-Build a competence framework with component competences, (3)- Build expressions for each component competences, (4)-</w:t>
      </w:r>
      <w:proofErr w:type="spellStart"/>
      <w:r w:rsidRPr="00D4781C">
        <w:rPr>
          <w:i/>
          <w:szCs w:val="22"/>
        </w:rPr>
        <w:t>Describle</w:t>
      </w:r>
      <w:proofErr w:type="spellEnd"/>
      <w:r w:rsidRPr="00D4781C">
        <w:rPr>
          <w:i/>
          <w:szCs w:val="22"/>
        </w:rPr>
        <w:t xml:space="preserve"> criteria corresponding to each expression in the competence framework, (5)-Get expert advice, (6)-Complete the competence framework</w:t>
      </w:r>
      <w:r>
        <w:rPr>
          <w:i/>
          <w:szCs w:val="22"/>
        </w:rPr>
        <w:t>.</w:t>
      </w:r>
    </w:p>
    <w:p w14:paraId="0C7E260B" w14:textId="77777777" w:rsidR="003E35BB" w:rsidRDefault="003E35BB" w:rsidP="00382F14">
      <w:pPr>
        <w:ind w:firstLine="357"/>
        <w:jc w:val="both"/>
        <w:rPr>
          <w:szCs w:val="22"/>
        </w:rPr>
      </w:pPr>
      <w:r w:rsidRPr="0084614A">
        <w:rPr>
          <w:szCs w:val="22"/>
        </w:rPr>
        <w:t>Identification of the IT competence framework including indicators and criteria developed on the basis of research, analysis survey data, assessment, control, and ask for experts who are educational researchers and knowledgeable teachers about field of applying IT in general teaching and online teaching in particular, along with some teachers have experience teaching in universities</w:t>
      </w:r>
      <w:r>
        <w:rPr>
          <w:szCs w:val="22"/>
        </w:rPr>
        <w:t>.</w:t>
      </w:r>
    </w:p>
    <w:p w14:paraId="5E862260" w14:textId="77777777" w:rsidR="003E35BB" w:rsidRDefault="003E35BB" w:rsidP="00382F14">
      <w:pPr>
        <w:ind w:firstLine="357"/>
        <w:jc w:val="both"/>
        <w:rPr>
          <w:szCs w:val="22"/>
        </w:rPr>
      </w:pPr>
      <w:r w:rsidRPr="0084614A">
        <w:rPr>
          <w:szCs w:val="22"/>
        </w:rPr>
        <w:t>After receiving feedback from the experts, the IT competence framework was revised and further submitted for comments (repeat steps (2) &lt;-&gt; (5) of 6 steps on above). This process is repeated until there is high consensus from the experts</w:t>
      </w:r>
      <w:r>
        <w:rPr>
          <w:szCs w:val="22"/>
        </w:rPr>
        <w:t>.</w:t>
      </w:r>
    </w:p>
    <w:p w14:paraId="5AE1A76C" w14:textId="77777777" w:rsidR="003E35BB" w:rsidRDefault="003E35BB" w:rsidP="00382F14">
      <w:pPr>
        <w:ind w:firstLine="357"/>
        <w:jc w:val="both"/>
        <w:rPr>
          <w:szCs w:val="22"/>
        </w:rPr>
      </w:pPr>
      <w:r w:rsidRPr="0084614A">
        <w:rPr>
          <w:szCs w:val="22"/>
        </w:rPr>
        <w:t xml:space="preserve">The proposed framework for the use IT competence in online teaching is reviewed on the assumptions set out in the selection of criteria, measurement values ​​and assessment results. How to define criteria, measure the value of criteria, and evaluate effectiveness when applying the IT literacy framework in online teaching needs to be clarified; The identification of competence framework should cover common competences, </w:t>
      </w:r>
      <w:proofErr w:type="spellStart"/>
      <w:r w:rsidRPr="0084614A">
        <w:rPr>
          <w:szCs w:val="22"/>
        </w:rPr>
        <w:t>speciality</w:t>
      </w:r>
      <w:proofErr w:type="spellEnd"/>
      <w:r w:rsidRPr="0084614A">
        <w:rPr>
          <w:szCs w:val="22"/>
        </w:rPr>
        <w:t xml:space="preserve"> competence and managerial and managerial capacities in order to address the elements of mission objectives, criteria and competence requirements in online training promote effectiveness in teaching methodology for competence development</w:t>
      </w:r>
      <w:r>
        <w:rPr>
          <w:szCs w:val="22"/>
        </w:rPr>
        <w:t>.</w:t>
      </w:r>
    </w:p>
    <w:p w14:paraId="1DE0BF51" w14:textId="77777777" w:rsidR="003E35BB" w:rsidRPr="0084614A" w:rsidRDefault="003E35BB" w:rsidP="00382F14">
      <w:pPr>
        <w:ind w:firstLine="357"/>
        <w:jc w:val="both"/>
        <w:rPr>
          <w:szCs w:val="22"/>
        </w:rPr>
      </w:pPr>
      <w:r w:rsidRPr="0084614A">
        <w:rPr>
          <w:szCs w:val="22"/>
        </w:rPr>
        <w:t>Determining the core content of the IT competence framework for teachers in online teaching is a system of component competencies that describe in detail the expressions of (1) knowledge, (2) skills, and (3) attitude at each level in assessing teachers' IT competence</w:t>
      </w:r>
      <w:r>
        <w:rPr>
          <w:szCs w:val="22"/>
        </w:rPr>
        <w:t xml:space="preserve"> according to 3 levels.</w:t>
      </w:r>
    </w:p>
    <w:p w14:paraId="52183B2D" w14:textId="77777777" w:rsidR="003E35BB" w:rsidRDefault="003E35BB" w:rsidP="00382F14">
      <w:pPr>
        <w:ind w:firstLine="357"/>
        <w:jc w:val="both"/>
        <w:rPr>
          <w:szCs w:val="22"/>
        </w:rPr>
      </w:pPr>
      <w:r w:rsidRPr="0084614A">
        <w:rPr>
          <w:szCs w:val="22"/>
        </w:rPr>
        <w:t xml:space="preserve">Based on the study of national and foreign scientific resources and materials, combined with the context of the education and training sector, the results of gathering opinions from 42 experts on the criteria system of the IT competence framework in teaching, and evaluation carefully in line with the reality and trends approach international education; we propose structure of IT competence framework for teachers in online teaching </w:t>
      </w:r>
      <w:r w:rsidRPr="0082463C">
        <w:rPr>
          <w:szCs w:val="22"/>
        </w:rPr>
        <w:t>(Fig. 2)</w:t>
      </w:r>
      <w:r>
        <w:rPr>
          <w:szCs w:val="22"/>
        </w:rPr>
        <w:t>.</w:t>
      </w:r>
    </w:p>
    <w:p w14:paraId="06A30265" w14:textId="77777777" w:rsidR="003E35BB" w:rsidRPr="003E35BB" w:rsidRDefault="003E35BB" w:rsidP="0016261F">
      <w:pPr>
        <w:jc w:val="center"/>
        <w:rPr>
          <w:b/>
          <w:szCs w:val="22"/>
        </w:rPr>
      </w:pPr>
      <w:r w:rsidRPr="0084614A">
        <w:rPr>
          <w:noProof/>
          <w:color w:val="0070C0"/>
          <w:szCs w:val="22"/>
          <w:lang w:val="en-MY" w:eastAsia="en-MY"/>
        </w:rPr>
        <w:drawing>
          <wp:inline distT="0" distB="0" distL="0" distR="0" wp14:anchorId="39DB483A" wp14:editId="2C6EBDDA">
            <wp:extent cx="4519930" cy="3174521"/>
            <wp:effectExtent l="0" t="0" r="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535022" cy="3185121"/>
                    </a:xfrm>
                    <a:prstGeom prst="rect">
                      <a:avLst/>
                    </a:prstGeom>
                    <a:noFill/>
                  </pic:spPr>
                </pic:pic>
              </a:graphicData>
            </a:graphic>
          </wp:inline>
        </w:drawing>
      </w:r>
    </w:p>
    <w:p w14:paraId="369F9663" w14:textId="77777777" w:rsidR="003E35BB" w:rsidRPr="00EE77DC" w:rsidRDefault="003E35BB" w:rsidP="0016261F">
      <w:pPr>
        <w:jc w:val="center"/>
        <w:rPr>
          <w:b/>
          <w:sz w:val="16"/>
          <w:szCs w:val="22"/>
        </w:rPr>
      </w:pPr>
      <w:r w:rsidRPr="00EE77DC">
        <w:rPr>
          <w:b/>
          <w:sz w:val="16"/>
          <w:szCs w:val="22"/>
        </w:rPr>
        <w:t>Fig. 2 - The structure of IT competence framework for teachers in online teaching</w:t>
      </w:r>
    </w:p>
    <w:p w14:paraId="23592890" w14:textId="77777777" w:rsidR="003E35BB" w:rsidRPr="0084614A" w:rsidRDefault="003E35BB" w:rsidP="003E35BB">
      <w:pPr>
        <w:ind w:firstLine="284"/>
        <w:jc w:val="center"/>
        <w:rPr>
          <w:b/>
          <w:szCs w:val="22"/>
        </w:rPr>
      </w:pPr>
    </w:p>
    <w:p w14:paraId="2E75D290" w14:textId="77777777" w:rsidR="003E35BB" w:rsidRDefault="003E35BB" w:rsidP="00EE77DC">
      <w:pPr>
        <w:ind w:firstLine="357"/>
        <w:jc w:val="both"/>
        <w:rPr>
          <w:szCs w:val="22"/>
        </w:rPr>
      </w:pPr>
      <w:r w:rsidRPr="0084614A">
        <w:rPr>
          <w:szCs w:val="22"/>
        </w:rPr>
        <w:t>With the IT competence framework in online teaching</w:t>
      </w:r>
      <w:r>
        <w:rPr>
          <w:szCs w:val="22"/>
        </w:rPr>
        <w:t xml:space="preserve"> </w:t>
      </w:r>
      <w:r w:rsidRPr="00872D09">
        <w:rPr>
          <w:szCs w:val="22"/>
        </w:rPr>
        <w:t>(Fig. 2)</w:t>
      </w:r>
      <w:r w:rsidRPr="0084614A">
        <w:rPr>
          <w:szCs w:val="22"/>
        </w:rPr>
        <w:t>, we built a set of criteria to evaluate IT use competency for 10 component competence groups with 33 criteria indicators (Table 1)</w:t>
      </w:r>
      <w:r>
        <w:rPr>
          <w:szCs w:val="22"/>
        </w:rPr>
        <w:t>.</w:t>
      </w:r>
    </w:p>
    <w:p w14:paraId="791BA544" w14:textId="77777777" w:rsidR="005F2E06" w:rsidRDefault="005F2E06" w:rsidP="003E35BB">
      <w:pPr>
        <w:ind w:firstLine="284"/>
        <w:jc w:val="both"/>
        <w:rPr>
          <w:szCs w:val="22"/>
        </w:rPr>
      </w:pPr>
    </w:p>
    <w:p w14:paraId="34A0226E" w14:textId="77777777" w:rsidR="003E35BB" w:rsidRDefault="005F2E06" w:rsidP="00A65110">
      <w:pPr>
        <w:spacing w:before="240" w:after="80" w:line="200" w:lineRule="exact"/>
        <w:jc w:val="center"/>
        <w:rPr>
          <w:b/>
          <w:szCs w:val="22"/>
        </w:rPr>
      </w:pPr>
      <w:commentRangeStart w:id="3"/>
      <w:r w:rsidRPr="00CC69CB">
        <w:rPr>
          <w:b/>
          <w:szCs w:val="22"/>
        </w:rPr>
        <w:t>Table 1 - The IT competence framework of teacher in online teaching</w:t>
      </w:r>
      <w:commentRangeEnd w:id="3"/>
      <w:r w:rsidR="00D4584A">
        <w:rPr>
          <w:rStyle w:val="CommentReference"/>
        </w:rPr>
        <w:commentReference w:id="3"/>
      </w:r>
    </w:p>
    <w:tbl>
      <w:tblPr>
        <w:tblStyle w:val="TableGrid"/>
        <w:tblW w:w="9085" w:type="dxa"/>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5706"/>
      </w:tblGrid>
      <w:tr w:rsidR="005F2E06" w:rsidRPr="00A65110" w14:paraId="3DA62A7B" w14:textId="77777777" w:rsidTr="008744C7">
        <w:trPr>
          <w:jc w:val="center"/>
        </w:trPr>
        <w:tc>
          <w:tcPr>
            <w:tcW w:w="3379" w:type="dxa"/>
            <w:tcBorders>
              <w:top w:val="single" w:sz="2" w:space="0" w:color="auto"/>
              <w:bottom w:val="single" w:sz="2" w:space="0" w:color="auto"/>
            </w:tcBorders>
            <w:shd w:val="clear" w:color="auto" w:fill="323E4F" w:themeFill="text2" w:themeFillShade="BF"/>
          </w:tcPr>
          <w:p w14:paraId="7E55B232" w14:textId="77777777" w:rsidR="005F2E06" w:rsidRPr="00A65110" w:rsidRDefault="005F2E06" w:rsidP="003B1EAA">
            <w:pPr>
              <w:ind w:firstLine="6"/>
              <w:jc w:val="center"/>
              <w:rPr>
                <w:b/>
                <w:color w:val="FFFFFF" w:themeColor="background1"/>
                <w:szCs w:val="20"/>
              </w:rPr>
            </w:pPr>
            <w:r w:rsidRPr="00A65110">
              <w:rPr>
                <w:b/>
                <w:color w:val="FFFFFF" w:themeColor="background1"/>
                <w:szCs w:val="20"/>
              </w:rPr>
              <w:t>Component competence group</w:t>
            </w:r>
          </w:p>
        </w:tc>
        <w:tc>
          <w:tcPr>
            <w:tcW w:w="5706" w:type="dxa"/>
            <w:tcBorders>
              <w:top w:val="single" w:sz="2" w:space="0" w:color="auto"/>
              <w:bottom w:val="single" w:sz="2" w:space="0" w:color="auto"/>
            </w:tcBorders>
            <w:shd w:val="clear" w:color="auto" w:fill="323E4F" w:themeFill="text2" w:themeFillShade="BF"/>
          </w:tcPr>
          <w:p w14:paraId="38A21902" w14:textId="77777777" w:rsidR="005F2E06" w:rsidRPr="00A65110" w:rsidRDefault="005F2E06" w:rsidP="003B1EAA">
            <w:pPr>
              <w:ind w:firstLine="6"/>
              <w:jc w:val="center"/>
              <w:rPr>
                <w:b/>
                <w:color w:val="FFFFFF" w:themeColor="background1"/>
                <w:szCs w:val="20"/>
              </w:rPr>
            </w:pPr>
            <w:r w:rsidRPr="00A65110">
              <w:rPr>
                <w:b/>
                <w:color w:val="FFFFFF" w:themeColor="background1"/>
                <w:szCs w:val="20"/>
              </w:rPr>
              <w:t>Index criteria</w:t>
            </w:r>
          </w:p>
        </w:tc>
      </w:tr>
      <w:tr w:rsidR="005F2E06" w:rsidRPr="00A65110" w14:paraId="5679FF93" w14:textId="77777777" w:rsidTr="008744C7">
        <w:trPr>
          <w:jc w:val="center"/>
        </w:trPr>
        <w:tc>
          <w:tcPr>
            <w:tcW w:w="3379" w:type="dxa"/>
            <w:tcBorders>
              <w:top w:val="single" w:sz="2" w:space="0" w:color="auto"/>
            </w:tcBorders>
            <w:shd w:val="clear" w:color="auto" w:fill="FFFFFF" w:themeFill="background1"/>
          </w:tcPr>
          <w:p w14:paraId="2AB898D6" w14:textId="77777777" w:rsidR="005F2E06" w:rsidRPr="00A65110" w:rsidRDefault="005F2E06" w:rsidP="003B1EAA">
            <w:pPr>
              <w:ind w:firstLine="6"/>
              <w:jc w:val="both"/>
              <w:rPr>
                <w:szCs w:val="20"/>
              </w:rPr>
            </w:pPr>
            <w:r w:rsidRPr="00A65110">
              <w:rPr>
                <w:szCs w:val="20"/>
              </w:rPr>
              <w:t>1-Understanding competences of IT application policy in teaching</w:t>
            </w:r>
          </w:p>
        </w:tc>
        <w:tc>
          <w:tcPr>
            <w:tcW w:w="5706" w:type="dxa"/>
            <w:tcBorders>
              <w:top w:val="single" w:sz="2" w:space="0" w:color="auto"/>
            </w:tcBorders>
            <w:shd w:val="clear" w:color="auto" w:fill="FFFFFF" w:themeFill="background1"/>
          </w:tcPr>
          <w:p w14:paraId="06CC0FA7" w14:textId="77777777" w:rsidR="005F2E06" w:rsidRPr="00A65110" w:rsidRDefault="005F2E06" w:rsidP="003B1EAA">
            <w:pPr>
              <w:ind w:firstLine="6"/>
              <w:jc w:val="both"/>
              <w:rPr>
                <w:szCs w:val="20"/>
              </w:rPr>
            </w:pPr>
            <w:r w:rsidRPr="00A65110">
              <w:rPr>
                <w:szCs w:val="20"/>
              </w:rPr>
              <w:t>1. Analyze, assessment issues of using IT in teaching.</w:t>
            </w:r>
          </w:p>
          <w:p w14:paraId="5D813F33" w14:textId="77777777" w:rsidR="005F2E06" w:rsidRPr="00A65110" w:rsidRDefault="005F2E06" w:rsidP="003B1EAA">
            <w:pPr>
              <w:ind w:firstLine="6"/>
              <w:jc w:val="both"/>
              <w:rPr>
                <w:szCs w:val="20"/>
              </w:rPr>
            </w:pPr>
            <w:r w:rsidRPr="00A65110">
              <w:rPr>
                <w:szCs w:val="20"/>
              </w:rPr>
              <w:t>2. Update and analyze trends and policies applying IT in teaching according to IT law.</w:t>
            </w:r>
          </w:p>
          <w:p w14:paraId="426276F2" w14:textId="77777777" w:rsidR="005F2E06" w:rsidRPr="00A65110" w:rsidRDefault="005F2E06" w:rsidP="003B1EAA">
            <w:pPr>
              <w:ind w:firstLine="6"/>
              <w:jc w:val="both"/>
              <w:rPr>
                <w:szCs w:val="20"/>
              </w:rPr>
            </w:pPr>
            <w:r w:rsidRPr="00A65110">
              <w:rPr>
                <w:szCs w:val="20"/>
              </w:rPr>
              <w:t>3. Proposing alternatives for applying IT in the teaching process in accordance with objective and subjective conditions.</w:t>
            </w:r>
          </w:p>
        </w:tc>
      </w:tr>
      <w:tr w:rsidR="005F2E06" w:rsidRPr="00A65110" w14:paraId="0BB916EA" w14:textId="77777777" w:rsidTr="00A65110">
        <w:trPr>
          <w:jc w:val="center"/>
        </w:trPr>
        <w:tc>
          <w:tcPr>
            <w:tcW w:w="3379" w:type="dxa"/>
            <w:shd w:val="clear" w:color="auto" w:fill="FFF2CC" w:themeFill="accent4" w:themeFillTint="33"/>
          </w:tcPr>
          <w:p w14:paraId="214E8631" w14:textId="77777777" w:rsidR="005F2E06" w:rsidRPr="00A65110" w:rsidRDefault="005F2E06" w:rsidP="003B1EAA">
            <w:pPr>
              <w:ind w:firstLine="6"/>
              <w:jc w:val="both"/>
              <w:rPr>
                <w:szCs w:val="20"/>
              </w:rPr>
            </w:pPr>
            <w:r w:rsidRPr="00A65110">
              <w:rPr>
                <w:szCs w:val="20"/>
              </w:rPr>
              <w:lastRenderedPageBreak/>
              <w:t>2-IT competences in the development of professional and occupation programs</w:t>
            </w:r>
          </w:p>
        </w:tc>
        <w:tc>
          <w:tcPr>
            <w:tcW w:w="5706" w:type="dxa"/>
            <w:shd w:val="clear" w:color="auto" w:fill="FFF2CC" w:themeFill="accent4" w:themeFillTint="33"/>
          </w:tcPr>
          <w:p w14:paraId="5C7ECCD5" w14:textId="77777777" w:rsidR="005F2E06" w:rsidRPr="00A65110" w:rsidRDefault="005F2E06" w:rsidP="003B1EAA">
            <w:pPr>
              <w:ind w:firstLine="6"/>
              <w:jc w:val="both"/>
              <w:rPr>
                <w:szCs w:val="20"/>
              </w:rPr>
            </w:pPr>
            <w:r w:rsidRPr="00A65110">
              <w:rPr>
                <w:szCs w:val="20"/>
              </w:rPr>
              <w:t>1. Factors applying IT in professional and occupation programs.</w:t>
            </w:r>
          </w:p>
          <w:p w14:paraId="0784E8B7" w14:textId="77777777" w:rsidR="005F2E06" w:rsidRPr="00A65110" w:rsidRDefault="005F2E06" w:rsidP="003B1EAA">
            <w:pPr>
              <w:ind w:firstLine="6"/>
              <w:jc w:val="both"/>
              <w:rPr>
                <w:szCs w:val="20"/>
              </w:rPr>
            </w:pPr>
            <w:r w:rsidRPr="00A65110">
              <w:rPr>
                <w:szCs w:val="20"/>
              </w:rPr>
              <w:t>2. Assessment the impact of IT factors on training disciplines.</w:t>
            </w:r>
          </w:p>
          <w:p w14:paraId="10E06616" w14:textId="77777777" w:rsidR="005F2E06" w:rsidRPr="00A65110" w:rsidRDefault="005F2E06" w:rsidP="003B1EAA">
            <w:pPr>
              <w:ind w:firstLine="6"/>
              <w:jc w:val="both"/>
              <w:rPr>
                <w:szCs w:val="20"/>
              </w:rPr>
            </w:pPr>
            <w:r w:rsidRPr="00A65110">
              <w:rPr>
                <w:szCs w:val="20"/>
              </w:rPr>
              <w:t>3. Demand for IT application in the development of professional and occupation programs.</w:t>
            </w:r>
          </w:p>
        </w:tc>
      </w:tr>
      <w:tr w:rsidR="005F2E06" w:rsidRPr="00A65110" w14:paraId="5F684C4C" w14:textId="77777777" w:rsidTr="00A65110">
        <w:trPr>
          <w:jc w:val="center"/>
        </w:trPr>
        <w:tc>
          <w:tcPr>
            <w:tcW w:w="3379" w:type="dxa"/>
            <w:shd w:val="clear" w:color="auto" w:fill="FFFFFF" w:themeFill="background1"/>
          </w:tcPr>
          <w:p w14:paraId="56B0B5F8" w14:textId="77777777" w:rsidR="005F2E06" w:rsidRPr="00A65110" w:rsidRDefault="005F2E06" w:rsidP="003B1EAA">
            <w:pPr>
              <w:ind w:firstLine="6"/>
              <w:jc w:val="both"/>
              <w:rPr>
                <w:szCs w:val="20"/>
              </w:rPr>
            </w:pPr>
            <w:r w:rsidRPr="00A65110">
              <w:rPr>
                <w:szCs w:val="20"/>
              </w:rPr>
              <w:t>3-IT competences associated with pedagogy</w:t>
            </w:r>
          </w:p>
        </w:tc>
        <w:tc>
          <w:tcPr>
            <w:tcW w:w="5706" w:type="dxa"/>
            <w:shd w:val="clear" w:color="auto" w:fill="FFFFFF" w:themeFill="background1"/>
          </w:tcPr>
          <w:p w14:paraId="5441D651" w14:textId="77777777" w:rsidR="005F2E06" w:rsidRPr="00A65110" w:rsidRDefault="005F2E06" w:rsidP="003B1EAA">
            <w:pPr>
              <w:ind w:firstLine="6"/>
              <w:jc w:val="both"/>
              <w:rPr>
                <w:szCs w:val="20"/>
              </w:rPr>
            </w:pPr>
            <w:r w:rsidRPr="00A65110">
              <w:rPr>
                <w:szCs w:val="20"/>
              </w:rPr>
              <w:t>1. Identify IT competence factor in the teaching methodology.</w:t>
            </w:r>
          </w:p>
          <w:p w14:paraId="7CC7B87D" w14:textId="77777777" w:rsidR="005F2E06" w:rsidRPr="00A65110" w:rsidRDefault="005F2E06" w:rsidP="003B1EAA">
            <w:pPr>
              <w:ind w:firstLine="6"/>
              <w:jc w:val="both"/>
              <w:rPr>
                <w:szCs w:val="20"/>
              </w:rPr>
            </w:pPr>
            <w:r w:rsidRPr="00A65110">
              <w:rPr>
                <w:szCs w:val="20"/>
              </w:rPr>
              <w:t>2. Apply IT competence in teaching to develop career of yourself.</w:t>
            </w:r>
          </w:p>
          <w:p w14:paraId="14FD962A" w14:textId="77777777" w:rsidR="005F2E06" w:rsidRPr="00A65110" w:rsidRDefault="005F2E06" w:rsidP="003B1EAA">
            <w:pPr>
              <w:ind w:firstLine="6"/>
              <w:jc w:val="both"/>
              <w:rPr>
                <w:szCs w:val="20"/>
              </w:rPr>
            </w:pPr>
            <w:r w:rsidRPr="00A65110">
              <w:rPr>
                <w:szCs w:val="20"/>
              </w:rPr>
              <w:t>3. Competence of using IT in professional training and professional pedagogy of teachers.</w:t>
            </w:r>
          </w:p>
          <w:p w14:paraId="5F767B62" w14:textId="77777777" w:rsidR="005F2E06" w:rsidRPr="00A65110" w:rsidRDefault="005F2E06" w:rsidP="003B1EAA">
            <w:pPr>
              <w:ind w:firstLine="6"/>
              <w:jc w:val="both"/>
              <w:rPr>
                <w:szCs w:val="20"/>
              </w:rPr>
            </w:pPr>
            <w:r w:rsidRPr="00A65110">
              <w:rPr>
                <w:szCs w:val="20"/>
              </w:rPr>
              <w:t>4. Combine the application of IT with positive teaching methods and the specific teaching method of each specialty.</w:t>
            </w:r>
          </w:p>
        </w:tc>
      </w:tr>
      <w:tr w:rsidR="005F2E06" w:rsidRPr="00A65110" w14:paraId="720C4436" w14:textId="77777777" w:rsidTr="00A65110">
        <w:trPr>
          <w:jc w:val="center"/>
        </w:trPr>
        <w:tc>
          <w:tcPr>
            <w:tcW w:w="3379" w:type="dxa"/>
            <w:shd w:val="clear" w:color="auto" w:fill="FFF2CC" w:themeFill="accent4" w:themeFillTint="33"/>
          </w:tcPr>
          <w:p w14:paraId="3F43D674" w14:textId="77777777" w:rsidR="005F2E06" w:rsidRPr="00A65110" w:rsidRDefault="005F2E06" w:rsidP="003B1EAA">
            <w:pPr>
              <w:ind w:firstLine="6"/>
              <w:jc w:val="both"/>
              <w:rPr>
                <w:szCs w:val="20"/>
              </w:rPr>
            </w:pPr>
            <w:r w:rsidRPr="00A65110">
              <w:rPr>
                <w:szCs w:val="20"/>
              </w:rPr>
              <w:t xml:space="preserve">4-Computer operation competences, using basic </w:t>
            </w:r>
            <w:proofErr w:type="spellStart"/>
            <w:r w:rsidRPr="00A65110">
              <w:rPr>
                <w:szCs w:val="20"/>
              </w:rPr>
              <w:t>softwares</w:t>
            </w:r>
            <w:proofErr w:type="spellEnd"/>
            <w:r w:rsidRPr="00A65110">
              <w:rPr>
                <w:szCs w:val="20"/>
              </w:rPr>
              <w:t xml:space="preserve">, and IT </w:t>
            </w:r>
            <w:proofErr w:type="spellStart"/>
            <w:r w:rsidRPr="00A65110">
              <w:rPr>
                <w:szCs w:val="20"/>
              </w:rPr>
              <w:t>equipments</w:t>
            </w:r>
            <w:proofErr w:type="spellEnd"/>
            <w:r w:rsidRPr="00A65110">
              <w:rPr>
                <w:szCs w:val="20"/>
              </w:rPr>
              <w:t xml:space="preserve"> in teaching</w:t>
            </w:r>
          </w:p>
        </w:tc>
        <w:tc>
          <w:tcPr>
            <w:tcW w:w="5706" w:type="dxa"/>
            <w:shd w:val="clear" w:color="auto" w:fill="FFF2CC" w:themeFill="accent4" w:themeFillTint="33"/>
          </w:tcPr>
          <w:p w14:paraId="2886E7A0" w14:textId="77777777" w:rsidR="005F2E06" w:rsidRPr="00A65110" w:rsidRDefault="005F2E06" w:rsidP="003B1EAA">
            <w:pPr>
              <w:ind w:firstLine="6"/>
              <w:jc w:val="both"/>
              <w:rPr>
                <w:szCs w:val="20"/>
              </w:rPr>
            </w:pPr>
            <w:r w:rsidRPr="00A65110">
              <w:rPr>
                <w:szCs w:val="20"/>
              </w:rPr>
              <w:t>1. Basic computer use and operation skills.</w:t>
            </w:r>
          </w:p>
          <w:p w14:paraId="5A70A38A" w14:textId="77777777" w:rsidR="005F2E06" w:rsidRPr="00A65110" w:rsidRDefault="005F2E06" w:rsidP="003B1EAA">
            <w:pPr>
              <w:ind w:firstLine="6"/>
              <w:jc w:val="both"/>
              <w:rPr>
                <w:szCs w:val="20"/>
              </w:rPr>
            </w:pPr>
            <w:r w:rsidRPr="00A65110">
              <w:rPr>
                <w:szCs w:val="20"/>
              </w:rPr>
              <w:t xml:space="preserve">2. Ability to set up and use </w:t>
            </w:r>
            <w:proofErr w:type="spellStart"/>
            <w:r w:rsidRPr="00A65110">
              <w:rPr>
                <w:szCs w:val="20"/>
              </w:rPr>
              <w:t>softwares</w:t>
            </w:r>
            <w:proofErr w:type="spellEnd"/>
            <w:r w:rsidRPr="00A65110">
              <w:rPr>
                <w:szCs w:val="20"/>
              </w:rPr>
              <w:t>, basic applications on the computer.</w:t>
            </w:r>
          </w:p>
          <w:p w14:paraId="2E3ECABD" w14:textId="77777777" w:rsidR="005F2E06" w:rsidRPr="00A65110" w:rsidRDefault="005F2E06" w:rsidP="003B1EAA">
            <w:pPr>
              <w:ind w:firstLine="6"/>
              <w:jc w:val="both"/>
              <w:rPr>
                <w:szCs w:val="20"/>
              </w:rPr>
            </w:pPr>
            <w:r w:rsidRPr="00A65110">
              <w:rPr>
                <w:szCs w:val="20"/>
              </w:rPr>
              <w:t xml:space="preserve">3. Skills to use the basic IT application </w:t>
            </w:r>
            <w:proofErr w:type="spellStart"/>
            <w:r w:rsidRPr="00A65110">
              <w:rPr>
                <w:szCs w:val="20"/>
              </w:rPr>
              <w:t>softwares</w:t>
            </w:r>
            <w:proofErr w:type="spellEnd"/>
            <w:r w:rsidRPr="00A65110">
              <w:rPr>
                <w:szCs w:val="20"/>
              </w:rPr>
              <w:t xml:space="preserve"> in teaching.</w:t>
            </w:r>
          </w:p>
          <w:p w14:paraId="39F473D3" w14:textId="77777777" w:rsidR="005F2E06" w:rsidRPr="00A65110" w:rsidRDefault="005F2E06" w:rsidP="003B1EAA">
            <w:pPr>
              <w:ind w:firstLine="6"/>
              <w:jc w:val="both"/>
              <w:rPr>
                <w:szCs w:val="20"/>
              </w:rPr>
            </w:pPr>
            <w:r w:rsidRPr="00A65110">
              <w:rPr>
                <w:szCs w:val="20"/>
              </w:rPr>
              <w:t>4. Use peripherals and conventional IT tools in teaching.</w:t>
            </w:r>
          </w:p>
        </w:tc>
      </w:tr>
      <w:tr w:rsidR="005F2E06" w:rsidRPr="00A65110" w14:paraId="6B6E0BF6" w14:textId="77777777" w:rsidTr="00A65110">
        <w:trPr>
          <w:jc w:val="center"/>
        </w:trPr>
        <w:tc>
          <w:tcPr>
            <w:tcW w:w="3379" w:type="dxa"/>
            <w:shd w:val="clear" w:color="auto" w:fill="FFFFFF" w:themeFill="background1"/>
          </w:tcPr>
          <w:p w14:paraId="5BA1AE4C" w14:textId="77777777" w:rsidR="005F2E06" w:rsidRPr="00A65110" w:rsidRDefault="005F2E06" w:rsidP="003B1EAA">
            <w:pPr>
              <w:ind w:firstLine="6"/>
              <w:jc w:val="both"/>
              <w:rPr>
                <w:szCs w:val="20"/>
              </w:rPr>
            </w:pPr>
            <w:r w:rsidRPr="00A65110">
              <w:rPr>
                <w:szCs w:val="20"/>
              </w:rPr>
              <w:t>5-IT competences in the design and construction of basic digital resources</w:t>
            </w:r>
          </w:p>
        </w:tc>
        <w:tc>
          <w:tcPr>
            <w:tcW w:w="5706" w:type="dxa"/>
            <w:shd w:val="clear" w:color="auto" w:fill="FFFFFF" w:themeFill="background1"/>
          </w:tcPr>
          <w:p w14:paraId="64A87BFD" w14:textId="77777777" w:rsidR="005F2E06" w:rsidRPr="00A65110" w:rsidRDefault="005F2E06" w:rsidP="003B1EAA">
            <w:pPr>
              <w:ind w:firstLine="6"/>
              <w:jc w:val="both"/>
              <w:rPr>
                <w:szCs w:val="20"/>
                <w:lang w:val="vi-VN"/>
              </w:rPr>
            </w:pPr>
            <w:r w:rsidRPr="00A65110">
              <w:rPr>
                <w:szCs w:val="20"/>
                <w:lang w:val="vi-VN"/>
              </w:rPr>
              <w:t xml:space="preserve">1. Use </w:t>
            </w:r>
            <w:r w:rsidRPr="00A65110">
              <w:rPr>
                <w:szCs w:val="20"/>
              </w:rPr>
              <w:t>the</w:t>
            </w:r>
            <w:r w:rsidRPr="00A65110">
              <w:rPr>
                <w:szCs w:val="20"/>
                <w:lang w:val="vi-VN"/>
              </w:rPr>
              <w:t xml:space="preserve"> basic IT software</w:t>
            </w:r>
            <w:r w:rsidRPr="00A65110">
              <w:rPr>
                <w:szCs w:val="20"/>
              </w:rPr>
              <w:t>s</w:t>
            </w:r>
            <w:r w:rsidRPr="00A65110">
              <w:rPr>
                <w:szCs w:val="20"/>
                <w:lang w:val="vi-VN"/>
              </w:rPr>
              <w:t xml:space="preserve"> and application</w:t>
            </w:r>
            <w:r w:rsidRPr="00A65110">
              <w:rPr>
                <w:szCs w:val="20"/>
              </w:rPr>
              <w:t>s</w:t>
            </w:r>
            <w:r w:rsidRPr="00A65110">
              <w:rPr>
                <w:szCs w:val="20"/>
                <w:lang w:val="vi-VN"/>
              </w:rPr>
              <w:t xml:space="preserve"> in designing, building digital resources.</w:t>
            </w:r>
          </w:p>
          <w:p w14:paraId="2EA985B5" w14:textId="77777777" w:rsidR="005F2E06" w:rsidRPr="00A65110" w:rsidRDefault="005F2E06" w:rsidP="003B1EAA">
            <w:pPr>
              <w:ind w:firstLine="6"/>
              <w:jc w:val="both"/>
              <w:rPr>
                <w:szCs w:val="20"/>
                <w:lang w:val="vi-VN"/>
              </w:rPr>
            </w:pPr>
            <w:r w:rsidRPr="00A65110">
              <w:rPr>
                <w:szCs w:val="20"/>
                <w:lang w:val="vi-VN"/>
              </w:rPr>
              <w:t xml:space="preserve">2. Use tools to search, exploit, update, edit and export documents for </w:t>
            </w:r>
            <w:r w:rsidRPr="00A65110">
              <w:rPr>
                <w:szCs w:val="20"/>
              </w:rPr>
              <w:t>teaching</w:t>
            </w:r>
            <w:r w:rsidRPr="00A65110">
              <w:rPr>
                <w:szCs w:val="20"/>
                <w:lang w:val="vi-VN"/>
              </w:rPr>
              <w:t>.</w:t>
            </w:r>
          </w:p>
          <w:p w14:paraId="387B40B4" w14:textId="77777777" w:rsidR="005F2E06" w:rsidRPr="00A65110" w:rsidRDefault="005F2E06" w:rsidP="003B1EAA">
            <w:pPr>
              <w:ind w:firstLine="6"/>
              <w:jc w:val="both"/>
              <w:rPr>
                <w:szCs w:val="20"/>
                <w:lang w:val="vi-VN"/>
              </w:rPr>
            </w:pPr>
            <w:r w:rsidRPr="00A65110">
              <w:rPr>
                <w:szCs w:val="20"/>
                <w:lang w:val="vi-VN"/>
              </w:rPr>
              <w:t>3. Use utility software, IT support tools to exploit and manage digital resources in teaching.</w:t>
            </w:r>
          </w:p>
        </w:tc>
      </w:tr>
      <w:tr w:rsidR="005F2E06" w:rsidRPr="00A65110" w14:paraId="385076CC" w14:textId="77777777" w:rsidTr="00A65110">
        <w:trPr>
          <w:jc w:val="center"/>
        </w:trPr>
        <w:tc>
          <w:tcPr>
            <w:tcW w:w="3379" w:type="dxa"/>
            <w:shd w:val="clear" w:color="auto" w:fill="FFF2CC" w:themeFill="accent4" w:themeFillTint="33"/>
          </w:tcPr>
          <w:p w14:paraId="77CDBCA6" w14:textId="77777777" w:rsidR="005F2E06" w:rsidRPr="00A65110" w:rsidRDefault="005F2E06" w:rsidP="003B1EAA">
            <w:pPr>
              <w:ind w:firstLine="6"/>
              <w:jc w:val="both"/>
              <w:rPr>
                <w:szCs w:val="20"/>
              </w:rPr>
            </w:pPr>
            <w:r w:rsidRPr="00A65110">
              <w:rPr>
                <w:szCs w:val="20"/>
              </w:rPr>
              <w:t>6-Competences use specialized software to develop specialized expertise</w:t>
            </w:r>
          </w:p>
        </w:tc>
        <w:tc>
          <w:tcPr>
            <w:tcW w:w="5706" w:type="dxa"/>
            <w:shd w:val="clear" w:color="auto" w:fill="FFF2CC" w:themeFill="accent4" w:themeFillTint="33"/>
          </w:tcPr>
          <w:p w14:paraId="2ACB15E1" w14:textId="77777777" w:rsidR="005F2E06" w:rsidRPr="00A65110" w:rsidRDefault="005F2E06" w:rsidP="003B1EAA">
            <w:pPr>
              <w:ind w:firstLine="6"/>
              <w:jc w:val="both"/>
              <w:rPr>
                <w:szCs w:val="20"/>
              </w:rPr>
            </w:pPr>
            <w:r w:rsidRPr="00A65110">
              <w:rPr>
                <w:szCs w:val="20"/>
              </w:rPr>
              <w:t xml:space="preserve">1. Ability to use specialized IT application </w:t>
            </w:r>
            <w:proofErr w:type="spellStart"/>
            <w:r w:rsidRPr="00A65110">
              <w:rPr>
                <w:szCs w:val="20"/>
              </w:rPr>
              <w:t>softwares</w:t>
            </w:r>
            <w:proofErr w:type="spellEnd"/>
            <w:r w:rsidRPr="00A65110">
              <w:rPr>
                <w:szCs w:val="20"/>
              </w:rPr>
              <w:t xml:space="preserve"> according to professional and industry characteristics.</w:t>
            </w:r>
          </w:p>
          <w:p w14:paraId="4C133008" w14:textId="77777777" w:rsidR="005F2E06" w:rsidRPr="00A65110" w:rsidRDefault="005F2E06" w:rsidP="003B1EAA">
            <w:pPr>
              <w:ind w:firstLine="6"/>
              <w:jc w:val="both"/>
              <w:rPr>
                <w:szCs w:val="20"/>
              </w:rPr>
            </w:pPr>
            <w:r w:rsidRPr="00A65110">
              <w:rPr>
                <w:szCs w:val="20"/>
              </w:rPr>
              <w:t>2. Ability to integrate and embed IT application products in teaching.</w:t>
            </w:r>
          </w:p>
          <w:p w14:paraId="17266DD6" w14:textId="77777777" w:rsidR="005F2E06" w:rsidRPr="00A65110" w:rsidRDefault="005F2E06" w:rsidP="003B1EAA">
            <w:pPr>
              <w:ind w:firstLine="6"/>
              <w:jc w:val="both"/>
              <w:rPr>
                <w:szCs w:val="20"/>
              </w:rPr>
            </w:pPr>
            <w:r w:rsidRPr="00A65110">
              <w:rPr>
                <w:szCs w:val="20"/>
              </w:rPr>
              <w:t xml:space="preserve">3. Effectively manipulate products created from specialized </w:t>
            </w:r>
            <w:proofErr w:type="spellStart"/>
            <w:r w:rsidRPr="00A65110">
              <w:rPr>
                <w:szCs w:val="20"/>
              </w:rPr>
              <w:t>softwares</w:t>
            </w:r>
            <w:proofErr w:type="spellEnd"/>
            <w:r w:rsidRPr="00A65110">
              <w:rPr>
                <w:szCs w:val="20"/>
              </w:rPr>
              <w:t>.</w:t>
            </w:r>
          </w:p>
        </w:tc>
      </w:tr>
      <w:tr w:rsidR="005F2E06" w:rsidRPr="00A65110" w14:paraId="0D7C8076" w14:textId="77777777" w:rsidTr="00A65110">
        <w:trPr>
          <w:jc w:val="center"/>
        </w:trPr>
        <w:tc>
          <w:tcPr>
            <w:tcW w:w="3379" w:type="dxa"/>
            <w:shd w:val="clear" w:color="auto" w:fill="FFFFFF" w:themeFill="background1"/>
          </w:tcPr>
          <w:p w14:paraId="01EA319A" w14:textId="77777777" w:rsidR="005F2E06" w:rsidRPr="00A65110" w:rsidRDefault="005F2E06" w:rsidP="003B1EAA">
            <w:pPr>
              <w:ind w:firstLine="6"/>
              <w:jc w:val="both"/>
              <w:rPr>
                <w:szCs w:val="20"/>
              </w:rPr>
            </w:pPr>
            <w:r w:rsidRPr="00A65110">
              <w:rPr>
                <w:szCs w:val="20"/>
              </w:rPr>
              <w:t>7-IT competences organizes deployment and assessment results</w:t>
            </w:r>
          </w:p>
        </w:tc>
        <w:tc>
          <w:tcPr>
            <w:tcW w:w="5706" w:type="dxa"/>
            <w:shd w:val="clear" w:color="auto" w:fill="FFFFFF" w:themeFill="background1"/>
          </w:tcPr>
          <w:p w14:paraId="107D8AFC" w14:textId="77777777" w:rsidR="005F2E06" w:rsidRPr="00A65110" w:rsidRDefault="005F2E06" w:rsidP="003B1EAA">
            <w:pPr>
              <w:ind w:firstLine="6"/>
              <w:jc w:val="both"/>
              <w:rPr>
                <w:szCs w:val="20"/>
                <w:lang w:val="vi-VN"/>
              </w:rPr>
            </w:pPr>
            <w:r w:rsidRPr="00A65110">
              <w:rPr>
                <w:szCs w:val="20"/>
                <w:lang w:val="vi-VN"/>
              </w:rPr>
              <w:t>1. Use software to assist in the development, design</w:t>
            </w:r>
            <w:r w:rsidRPr="00A65110">
              <w:rPr>
                <w:szCs w:val="20"/>
              </w:rPr>
              <w:t>,</w:t>
            </w:r>
            <w:r w:rsidRPr="00A65110">
              <w:rPr>
                <w:szCs w:val="20"/>
                <w:lang w:val="vi-VN"/>
              </w:rPr>
              <w:t xml:space="preserve"> and management of test bank in digitized form.</w:t>
            </w:r>
          </w:p>
          <w:p w14:paraId="3B499534" w14:textId="77777777" w:rsidR="005F2E06" w:rsidRPr="00A65110" w:rsidRDefault="005F2E06" w:rsidP="003B1EAA">
            <w:pPr>
              <w:ind w:firstLine="6"/>
              <w:jc w:val="both"/>
              <w:rPr>
                <w:szCs w:val="20"/>
                <w:lang w:val="vi-VN"/>
              </w:rPr>
            </w:pPr>
            <w:r w:rsidRPr="00A65110">
              <w:rPr>
                <w:szCs w:val="20"/>
                <w:lang w:val="vi-VN"/>
              </w:rPr>
              <w:t xml:space="preserve">2. Use </w:t>
            </w:r>
            <w:r w:rsidRPr="00A65110">
              <w:rPr>
                <w:szCs w:val="20"/>
              </w:rPr>
              <w:t xml:space="preserve">a </w:t>
            </w:r>
            <w:r w:rsidRPr="00A65110">
              <w:rPr>
                <w:szCs w:val="20"/>
                <w:lang w:val="vi-VN"/>
              </w:rPr>
              <w:t xml:space="preserve">variety of </w:t>
            </w:r>
            <w:r w:rsidRPr="00A65110">
              <w:rPr>
                <w:szCs w:val="20"/>
              </w:rPr>
              <w:t xml:space="preserve">forms of </w:t>
            </w:r>
            <w:r w:rsidRPr="00A65110">
              <w:rPr>
                <w:szCs w:val="20"/>
                <w:lang w:val="vi-VN"/>
              </w:rPr>
              <w:t>examination, assessment through tools, software</w:t>
            </w:r>
            <w:r w:rsidRPr="00A65110">
              <w:rPr>
                <w:szCs w:val="20"/>
              </w:rPr>
              <w:t>s</w:t>
            </w:r>
            <w:r w:rsidRPr="00A65110">
              <w:rPr>
                <w:szCs w:val="20"/>
                <w:lang w:val="vi-VN"/>
              </w:rPr>
              <w:t xml:space="preserve"> to provide assessment information, feedback on teaching and learning.</w:t>
            </w:r>
          </w:p>
          <w:p w14:paraId="10EDCA74" w14:textId="77777777" w:rsidR="005F2E06" w:rsidRPr="00A65110" w:rsidRDefault="005F2E06" w:rsidP="003B1EAA">
            <w:pPr>
              <w:ind w:firstLine="6"/>
              <w:jc w:val="both"/>
              <w:rPr>
                <w:szCs w:val="20"/>
                <w:lang w:val="vi-VN"/>
              </w:rPr>
            </w:pPr>
            <w:r w:rsidRPr="00A65110">
              <w:rPr>
                <w:szCs w:val="20"/>
              </w:rPr>
              <w:t xml:space="preserve">3. </w:t>
            </w:r>
            <w:r w:rsidRPr="00A65110">
              <w:rPr>
                <w:szCs w:val="20"/>
                <w:lang w:val="vi-VN"/>
              </w:rPr>
              <w:t xml:space="preserve">Promoting the </w:t>
            </w:r>
            <w:r w:rsidRPr="00A65110">
              <w:rPr>
                <w:szCs w:val="20"/>
              </w:rPr>
              <w:t>competence</w:t>
            </w:r>
            <w:r w:rsidRPr="00A65110">
              <w:rPr>
                <w:szCs w:val="20"/>
                <w:lang w:val="vi-VN"/>
              </w:rPr>
              <w:t xml:space="preserve"> for IT application in the interactions of the process of organizing the examination, assessment and feedback for students in the technology application environment.</w:t>
            </w:r>
          </w:p>
        </w:tc>
      </w:tr>
      <w:tr w:rsidR="005F2E06" w:rsidRPr="00A65110" w14:paraId="7A3EDAFF" w14:textId="77777777" w:rsidTr="00A65110">
        <w:trPr>
          <w:jc w:val="center"/>
        </w:trPr>
        <w:tc>
          <w:tcPr>
            <w:tcW w:w="3379" w:type="dxa"/>
            <w:shd w:val="clear" w:color="auto" w:fill="FFF2CC" w:themeFill="accent4" w:themeFillTint="33"/>
          </w:tcPr>
          <w:p w14:paraId="7C58EACE" w14:textId="77777777" w:rsidR="005F2E06" w:rsidRPr="00A65110" w:rsidRDefault="005F2E06" w:rsidP="003B1EAA">
            <w:pPr>
              <w:ind w:firstLine="6"/>
              <w:jc w:val="both"/>
              <w:rPr>
                <w:szCs w:val="20"/>
              </w:rPr>
            </w:pPr>
            <w:r w:rsidRPr="00A65110">
              <w:rPr>
                <w:szCs w:val="20"/>
              </w:rPr>
              <w:t>8-IT competences in the exploitation, use, and management of digital computer and internet resources</w:t>
            </w:r>
          </w:p>
        </w:tc>
        <w:tc>
          <w:tcPr>
            <w:tcW w:w="5706" w:type="dxa"/>
            <w:shd w:val="clear" w:color="auto" w:fill="FFF2CC" w:themeFill="accent4" w:themeFillTint="33"/>
          </w:tcPr>
          <w:p w14:paraId="7A34ED06" w14:textId="77777777" w:rsidR="005F2E06" w:rsidRPr="00A65110" w:rsidRDefault="005F2E06" w:rsidP="003B1EAA">
            <w:pPr>
              <w:ind w:firstLine="6"/>
              <w:jc w:val="both"/>
              <w:rPr>
                <w:szCs w:val="20"/>
              </w:rPr>
            </w:pPr>
            <w:r w:rsidRPr="00A65110">
              <w:rPr>
                <w:szCs w:val="20"/>
              </w:rPr>
              <w:t>1. Use tools to manage time, organize digital databases, and manage resources online.</w:t>
            </w:r>
          </w:p>
          <w:p w14:paraId="5B75F9B0" w14:textId="77777777" w:rsidR="005F2E06" w:rsidRPr="00A65110" w:rsidRDefault="005F2E06" w:rsidP="003B1EAA">
            <w:pPr>
              <w:ind w:firstLine="6"/>
              <w:jc w:val="both"/>
              <w:rPr>
                <w:szCs w:val="20"/>
              </w:rPr>
            </w:pPr>
            <w:r w:rsidRPr="00A65110">
              <w:rPr>
                <w:szCs w:val="20"/>
              </w:rPr>
              <w:t>2. Use tools to monitor, manage, communicate, and support students during the participation of the course.</w:t>
            </w:r>
          </w:p>
          <w:p w14:paraId="57F8AE2D" w14:textId="77777777" w:rsidR="005F2E06" w:rsidRPr="00A65110" w:rsidRDefault="005F2E06" w:rsidP="003B1EAA">
            <w:pPr>
              <w:ind w:firstLine="6"/>
              <w:jc w:val="both"/>
              <w:rPr>
                <w:szCs w:val="20"/>
              </w:rPr>
            </w:pPr>
            <w:r w:rsidRPr="00A65110">
              <w:rPr>
                <w:szCs w:val="20"/>
              </w:rPr>
              <w:t>3. Use proficient systems, external data storage devices, and online storage.</w:t>
            </w:r>
          </w:p>
        </w:tc>
      </w:tr>
      <w:tr w:rsidR="005F2E06" w:rsidRPr="00A65110" w14:paraId="5D2718A5" w14:textId="77777777" w:rsidTr="00A65110">
        <w:trPr>
          <w:jc w:val="center"/>
        </w:trPr>
        <w:tc>
          <w:tcPr>
            <w:tcW w:w="3379" w:type="dxa"/>
            <w:shd w:val="clear" w:color="auto" w:fill="FFFFFF" w:themeFill="background1"/>
          </w:tcPr>
          <w:p w14:paraId="586462FE" w14:textId="77777777" w:rsidR="005F2E06" w:rsidRPr="00A65110" w:rsidRDefault="005F2E06" w:rsidP="003B1EAA">
            <w:pPr>
              <w:ind w:firstLine="6"/>
              <w:jc w:val="both"/>
              <w:rPr>
                <w:szCs w:val="20"/>
              </w:rPr>
            </w:pPr>
            <w:r w:rsidRPr="00A65110">
              <w:rPr>
                <w:szCs w:val="20"/>
              </w:rPr>
              <w:t>9-IT competences is associated with the elements technology equipment</w:t>
            </w:r>
          </w:p>
        </w:tc>
        <w:tc>
          <w:tcPr>
            <w:tcW w:w="5706" w:type="dxa"/>
            <w:shd w:val="clear" w:color="auto" w:fill="FFFFFF" w:themeFill="background1"/>
          </w:tcPr>
          <w:p w14:paraId="1E369BF1" w14:textId="77777777" w:rsidR="005F2E06" w:rsidRPr="00A65110" w:rsidRDefault="005F2E06" w:rsidP="003B1EAA">
            <w:pPr>
              <w:ind w:firstLine="6"/>
              <w:jc w:val="both"/>
              <w:rPr>
                <w:szCs w:val="20"/>
                <w:lang w:val="vi-VN"/>
              </w:rPr>
            </w:pPr>
            <w:r w:rsidRPr="00A65110">
              <w:rPr>
                <w:szCs w:val="20"/>
                <w:lang w:val="vi-VN"/>
              </w:rPr>
              <w:t>1. Use technology equipment</w:t>
            </w:r>
            <w:r w:rsidRPr="00A65110">
              <w:rPr>
                <w:szCs w:val="20"/>
              </w:rPr>
              <w:t>s and</w:t>
            </w:r>
            <w:r w:rsidRPr="00A65110">
              <w:rPr>
                <w:szCs w:val="20"/>
                <w:lang w:val="vi-VN"/>
              </w:rPr>
              <w:t xml:space="preserve"> peripherals attached to computer systems and IT application system</w:t>
            </w:r>
            <w:r w:rsidRPr="00A65110">
              <w:rPr>
                <w:szCs w:val="20"/>
              </w:rPr>
              <w:t>s</w:t>
            </w:r>
            <w:r w:rsidRPr="00A65110">
              <w:rPr>
                <w:szCs w:val="20"/>
                <w:lang w:val="vi-VN"/>
              </w:rPr>
              <w:t>.</w:t>
            </w:r>
          </w:p>
          <w:p w14:paraId="30093515" w14:textId="77777777" w:rsidR="005F2E06" w:rsidRPr="00A65110" w:rsidRDefault="005F2E06" w:rsidP="003B1EAA">
            <w:pPr>
              <w:ind w:firstLine="6"/>
              <w:jc w:val="both"/>
              <w:rPr>
                <w:szCs w:val="20"/>
                <w:lang w:val="vi-VN"/>
              </w:rPr>
            </w:pPr>
            <w:r w:rsidRPr="00A65110">
              <w:rPr>
                <w:szCs w:val="20"/>
                <w:lang w:val="vi-VN"/>
              </w:rPr>
              <w:t>2. Applying elements of technology equipment</w:t>
            </w:r>
            <w:r w:rsidRPr="00A65110">
              <w:rPr>
                <w:szCs w:val="20"/>
              </w:rPr>
              <w:t>s</w:t>
            </w:r>
            <w:r w:rsidRPr="00A65110">
              <w:rPr>
                <w:szCs w:val="20"/>
                <w:lang w:val="vi-VN"/>
              </w:rPr>
              <w:t xml:space="preserve"> in multi-dimensional interactive learning environment support design.</w:t>
            </w:r>
          </w:p>
          <w:p w14:paraId="6C4639DF" w14:textId="77777777" w:rsidR="005F2E06" w:rsidRPr="00A65110" w:rsidRDefault="005F2E06" w:rsidP="003B1EAA">
            <w:pPr>
              <w:ind w:firstLine="6"/>
              <w:jc w:val="both"/>
              <w:rPr>
                <w:szCs w:val="20"/>
                <w:lang w:val="vi-VN"/>
              </w:rPr>
            </w:pPr>
            <w:r w:rsidRPr="00A65110">
              <w:rPr>
                <w:szCs w:val="20"/>
                <w:lang w:val="vi-VN"/>
              </w:rPr>
              <w:t>3. Capacity to use new technology equipment</w:t>
            </w:r>
            <w:r w:rsidRPr="00A65110">
              <w:rPr>
                <w:szCs w:val="20"/>
              </w:rPr>
              <w:t>s</w:t>
            </w:r>
            <w:r w:rsidRPr="00A65110">
              <w:rPr>
                <w:szCs w:val="20"/>
                <w:lang w:val="vi-VN"/>
              </w:rPr>
              <w:t xml:space="preserve"> in teaching.</w:t>
            </w:r>
          </w:p>
        </w:tc>
      </w:tr>
      <w:tr w:rsidR="005F2E06" w:rsidRPr="00A65110" w14:paraId="0F47FDB9" w14:textId="77777777" w:rsidTr="00A65110">
        <w:trPr>
          <w:jc w:val="center"/>
        </w:trPr>
        <w:tc>
          <w:tcPr>
            <w:tcW w:w="3379" w:type="dxa"/>
            <w:shd w:val="clear" w:color="auto" w:fill="FFF2CC" w:themeFill="accent4" w:themeFillTint="33"/>
          </w:tcPr>
          <w:p w14:paraId="3FE95CDD" w14:textId="77777777" w:rsidR="005F2E06" w:rsidRPr="00A65110" w:rsidRDefault="005F2E06" w:rsidP="003B1EAA">
            <w:pPr>
              <w:ind w:firstLine="6"/>
              <w:jc w:val="both"/>
              <w:rPr>
                <w:szCs w:val="20"/>
              </w:rPr>
            </w:pPr>
            <w:r w:rsidRPr="00A65110">
              <w:rPr>
                <w:szCs w:val="20"/>
              </w:rPr>
              <w:t>10-IT competences in the organization and administration of online courses</w:t>
            </w:r>
          </w:p>
        </w:tc>
        <w:tc>
          <w:tcPr>
            <w:tcW w:w="5706" w:type="dxa"/>
            <w:shd w:val="clear" w:color="auto" w:fill="FFF2CC" w:themeFill="accent4" w:themeFillTint="33"/>
          </w:tcPr>
          <w:p w14:paraId="769C6BD7" w14:textId="77777777" w:rsidR="005F2E06" w:rsidRPr="00A65110" w:rsidRDefault="005F2E06" w:rsidP="003B1EAA">
            <w:pPr>
              <w:ind w:firstLine="6"/>
              <w:jc w:val="both"/>
              <w:rPr>
                <w:szCs w:val="20"/>
              </w:rPr>
            </w:pPr>
            <w:r w:rsidRPr="00A65110">
              <w:rPr>
                <w:szCs w:val="20"/>
              </w:rPr>
              <w:t>1. Ability to use and operate the course online.</w:t>
            </w:r>
          </w:p>
          <w:p w14:paraId="69E203F9" w14:textId="77777777" w:rsidR="005F2E06" w:rsidRPr="00A65110" w:rsidRDefault="005F2E06" w:rsidP="003B1EAA">
            <w:pPr>
              <w:ind w:firstLine="6"/>
              <w:jc w:val="both"/>
              <w:rPr>
                <w:szCs w:val="20"/>
              </w:rPr>
            </w:pPr>
            <w:r w:rsidRPr="00A65110">
              <w:rPr>
                <w:szCs w:val="20"/>
              </w:rPr>
              <w:t>2. Maximize the ability to administer and organize course in an online environment.</w:t>
            </w:r>
          </w:p>
          <w:p w14:paraId="1EBF64D0" w14:textId="77777777" w:rsidR="005F2E06" w:rsidRPr="00A65110" w:rsidRDefault="005F2E06" w:rsidP="003B1EAA">
            <w:pPr>
              <w:ind w:firstLine="6"/>
              <w:jc w:val="both"/>
              <w:rPr>
                <w:szCs w:val="20"/>
              </w:rPr>
            </w:pPr>
            <w:r w:rsidRPr="00A65110">
              <w:rPr>
                <w:szCs w:val="20"/>
              </w:rPr>
              <w:t>3. The ability to analyze and access digital resources in the online environment.</w:t>
            </w:r>
          </w:p>
          <w:p w14:paraId="2F8B54FB" w14:textId="77777777" w:rsidR="005F2E06" w:rsidRPr="00A65110" w:rsidRDefault="005F2E06" w:rsidP="003B1EAA">
            <w:pPr>
              <w:ind w:firstLine="6"/>
              <w:jc w:val="both"/>
              <w:rPr>
                <w:szCs w:val="20"/>
              </w:rPr>
            </w:pPr>
            <w:r w:rsidRPr="00A65110">
              <w:rPr>
                <w:szCs w:val="20"/>
              </w:rPr>
              <w:t>4. Online work skills.</w:t>
            </w:r>
          </w:p>
        </w:tc>
      </w:tr>
    </w:tbl>
    <w:p w14:paraId="57DD6232" w14:textId="77777777" w:rsidR="005F2E06" w:rsidRPr="0084614A" w:rsidRDefault="005F2E06" w:rsidP="00EE77DC">
      <w:pPr>
        <w:spacing w:before="120"/>
        <w:ind w:firstLine="357"/>
        <w:jc w:val="both"/>
        <w:rPr>
          <w:szCs w:val="22"/>
        </w:rPr>
      </w:pPr>
      <w:r w:rsidRPr="0084614A">
        <w:rPr>
          <w:szCs w:val="22"/>
        </w:rPr>
        <w:t>Determining competence blocks for (1) knowledge, (2) skills, and (3) attitudes according to 3 levels corresponding to each expression of the IT competence framework for teachers in online teaching to achieve, including:</w:t>
      </w:r>
    </w:p>
    <w:p w14:paraId="630CF6A6" w14:textId="77777777" w:rsidR="005F2E06" w:rsidRPr="0084614A" w:rsidRDefault="005F2E06" w:rsidP="00EE77DC">
      <w:pPr>
        <w:ind w:firstLine="357"/>
        <w:jc w:val="both"/>
        <w:rPr>
          <w:szCs w:val="22"/>
        </w:rPr>
      </w:pPr>
      <w:r w:rsidRPr="0084614A">
        <w:rPr>
          <w:i/>
          <w:szCs w:val="22"/>
        </w:rPr>
        <w:t>Level 1.</w:t>
      </w:r>
      <w:r w:rsidRPr="0084614A">
        <w:rPr>
          <w:szCs w:val="22"/>
        </w:rPr>
        <w:t xml:space="preserve"> Teacher has a low level of competence (basic level: there is comparison in applying).</w:t>
      </w:r>
    </w:p>
    <w:p w14:paraId="035F1A05" w14:textId="77777777" w:rsidR="005F2E06" w:rsidRPr="0084614A" w:rsidRDefault="005F2E06" w:rsidP="00EE77DC">
      <w:pPr>
        <w:ind w:firstLine="357"/>
        <w:jc w:val="both"/>
        <w:rPr>
          <w:szCs w:val="22"/>
        </w:rPr>
      </w:pPr>
      <w:r w:rsidRPr="0084614A">
        <w:rPr>
          <w:i/>
          <w:szCs w:val="22"/>
        </w:rPr>
        <w:t>Level 2.</w:t>
      </w:r>
      <w:r w:rsidRPr="0084614A">
        <w:rPr>
          <w:szCs w:val="22"/>
        </w:rPr>
        <w:t xml:space="preserve"> Teachers have energy at average level (quite proficient level: there is an evaluation in application).</w:t>
      </w:r>
    </w:p>
    <w:p w14:paraId="7275F1E1" w14:textId="77777777" w:rsidR="005F2E06" w:rsidRPr="0084614A" w:rsidRDefault="005F2E06" w:rsidP="00EE77DC">
      <w:pPr>
        <w:ind w:firstLine="357"/>
        <w:jc w:val="both"/>
        <w:rPr>
          <w:szCs w:val="22"/>
        </w:rPr>
      </w:pPr>
      <w:r w:rsidRPr="0084614A">
        <w:rPr>
          <w:i/>
          <w:szCs w:val="22"/>
        </w:rPr>
        <w:t>Level 3.</w:t>
      </w:r>
      <w:r w:rsidRPr="0084614A">
        <w:rPr>
          <w:szCs w:val="22"/>
        </w:rPr>
        <w:t xml:space="preserve"> Teachers have high level of competence (proficiency level: analysis and evaluation, criticism and creativity, can share and re-instruct).</w:t>
      </w:r>
    </w:p>
    <w:p w14:paraId="31CD2A31" w14:textId="77777777" w:rsidR="005F2E06" w:rsidRDefault="005F2E06" w:rsidP="00EE77DC">
      <w:pPr>
        <w:ind w:firstLine="357"/>
        <w:jc w:val="both"/>
        <w:rPr>
          <w:szCs w:val="22"/>
        </w:rPr>
      </w:pPr>
      <w:r w:rsidRPr="0084614A">
        <w:rPr>
          <w:szCs w:val="22"/>
        </w:rPr>
        <w:t>The set of criteria for the use of IT by teachers' IT framework is assessed according to these 3 levels and is a measure of teachers' IT use in online teaching</w:t>
      </w:r>
      <w:r>
        <w:rPr>
          <w:szCs w:val="22"/>
        </w:rPr>
        <w:t>.</w:t>
      </w:r>
    </w:p>
    <w:p w14:paraId="26D8718B" w14:textId="77777777" w:rsidR="005F2E06" w:rsidRPr="0084614A" w:rsidRDefault="005F2E06" w:rsidP="00EE77DC">
      <w:pPr>
        <w:spacing w:before="240" w:after="60"/>
        <w:jc w:val="both"/>
        <w:rPr>
          <w:b/>
          <w:szCs w:val="22"/>
        </w:rPr>
      </w:pPr>
      <w:r>
        <w:rPr>
          <w:b/>
          <w:szCs w:val="22"/>
        </w:rPr>
        <w:lastRenderedPageBreak/>
        <w:t>4.3</w:t>
      </w:r>
      <w:r>
        <w:rPr>
          <w:b/>
          <w:szCs w:val="22"/>
        </w:rPr>
        <w:tab/>
      </w:r>
      <w:r w:rsidRPr="0084614A">
        <w:rPr>
          <w:b/>
          <w:szCs w:val="22"/>
        </w:rPr>
        <w:t>Assessment the Criteria Scale of IT Competence Framework</w:t>
      </w:r>
    </w:p>
    <w:p w14:paraId="5888AFDF" w14:textId="77777777" w:rsidR="005F2E06" w:rsidRPr="0084614A" w:rsidRDefault="005F2E06" w:rsidP="005F2E06">
      <w:pPr>
        <w:jc w:val="both"/>
        <w:rPr>
          <w:szCs w:val="22"/>
        </w:rPr>
      </w:pPr>
      <w:r w:rsidRPr="0084614A">
        <w:rPr>
          <w:szCs w:val="22"/>
        </w:rPr>
        <w:t xml:space="preserve">After build the set of criteria to evaluate IT use competence (Table1), we surveyed on 342 research objects, and process processing and data statistics, the Cronbach's Alpha parsing to rating the trust and </w:t>
      </w:r>
      <w:proofErr w:type="spellStart"/>
      <w:r w:rsidRPr="0084614A">
        <w:rPr>
          <w:szCs w:val="22"/>
        </w:rPr>
        <w:t>intervalence</w:t>
      </w:r>
      <w:proofErr w:type="spellEnd"/>
      <w:r w:rsidRPr="0084614A">
        <w:rPr>
          <w:szCs w:val="22"/>
        </w:rPr>
        <w:t xml:space="preserve"> the price of the between observations variable in scale and EFA factor to evaluate the convergence value</w:t>
      </w:r>
      <w:r>
        <w:rPr>
          <w:szCs w:val="22"/>
        </w:rPr>
        <w:t xml:space="preserve"> </w:t>
      </w:r>
      <w:r w:rsidRPr="0084614A">
        <w:rPr>
          <w:szCs w:val="22"/>
        </w:rPr>
        <w:t xml:space="preserve">and the discriminant value of the observed variables for the elements of the scale. The main manifestations are the observational variables for the 10 component competence groups of the IT competence scale. </w:t>
      </w:r>
    </w:p>
    <w:p w14:paraId="0ECFD7B4" w14:textId="77777777" w:rsidR="005F2E06" w:rsidRPr="0084614A" w:rsidRDefault="005F2E06" w:rsidP="00BF2214">
      <w:pPr>
        <w:ind w:firstLine="357"/>
        <w:jc w:val="both"/>
        <w:rPr>
          <w:szCs w:val="22"/>
        </w:rPr>
      </w:pPr>
      <w:r w:rsidRPr="0084614A">
        <w:rPr>
          <w:szCs w:val="22"/>
        </w:rPr>
        <w:t xml:space="preserve">The </w:t>
      </w:r>
      <w:proofErr w:type="spellStart"/>
      <w:r w:rsidRPr="0084614A">
        <w:rPr>
          <w:szCs w:val="22"/>
        </w:rPr>
        <w:t>j</w:t>
      </w:r>
      <w:r w:rsidRPr="0084614A">
        <w:rPr>
          <w:szCs w:val="22"/>
          <w:vertAlign w:val="superscript"/>
        </w:rPr>
        <w:t>th</w:t>
      </w:r>
      <w:proofErr w:type="spellEnd"/>
      <w:r w:rsidRPr="0084614A">
        <w:rPr>
          <w:szCs w:val="22"/>
        </w:rPr>
        <w:t xml:space="preserve"> criteria expression of the </w:t>
      </w:r>
      <w:proofErr w:type="spellStart"/>
      <w:r w:rsidRPr="0084614A">
        <w:rPr>
          <w:szCs w:val="22"/>
        </w:rPr>
        <w:t>i</w:t>
      </w:r>
      <w:r w:rsidRPr="0084614A">
        <w:rPr>
          <w:szCs w:val="22"/>
          <w:vertAlign w:val="superscript"/>
        </w:rPr>
        <w:t>th</w:t>
      </w:r>
      <w:proofErr w:type="spellEnd"/>
      <w:r w:rsidRPr="0084614A">
        <w:rPr>
          <w:szCs w:val="22"/>
        </w:rPr>
        <w:t xml:space="preserve"> competence will be assigned variable </w:t>
      </w:r>
      <w:proofErr w:type="spellStart"/>
      <w:r w:rsidRPr="0084614A">
        <w:rPr>
          <w:szCs w:val="22"/>
        </w:rPr>
        <w:t>NLi_TCj</w:t>
      </w:r>
      <w:proofErr w:type="spellEnd"/>
      <w:r w:rsidRPr="0084614A">
        <w:rPr>
          <w:szCs w:val="22"/>
        </w:rPr>
        <w:t xml:space="preserve"> (</w:t>
      </w:r>
      <w:proofErr w:type="spellStart"/>
      <w:r w:rsidRPr="0084614A">
        <w:rPr>
          <w:szCs w:val="22"/>
        </w:rPr>
        <w:t>i</w:t>
      </w:r>
      <w:proofErr w:type="spellEnd"/>
      <w:r w:rsidRPr="0084614A">
        <w:rPr>
          <w:szCs w:val="22"/>
        </w:rPr>
        <w:t xml:space="preserve"> = 1-&gt;10, j =1-&gt;4).</w:t>
      </w:r>
    </w:p>
    <w:p w14:paraId="5692D820" w14:textId="77777777" w:rsidR="005F2E06" w:rsidRDefault="005F2E06" w:rsidP="00BF2214">
      <w:pPr>
        <w:ind w:firstLine="357"/>
        <w:jc w:val="both"/>
        <w:rPr>
          <w:szCs w:val="22"/>
        </w:rPr>
      </w:pPr>
      <w:r w:rsidRPr="0084614A">
        <w:rPr>
          <w:szCs w:val="22"/>
        </w:rPr>
        <w:t>With 3 levels of 33 criteria expressions for 10 component competences, we assign level 3: = 3; Level 2: = 2; Level 1: = 1</w:t>
      </w:r>
      <w:r>
        <w:rPr>
          <w:szCs w:val="22"/>
        </w:rPr>
        <w:t>.</w:t>
      </w:r>
    </w:p>
    <w:p w14:paraId="5A7A2541" w14:textId="77777777" w:rsidR="00BD07B0" w:rsidRDefault="00BD07B0" w:rsidP="00BF2214">
      <w:pPr>
        <w:ind w:firstLine="357"/>
        <w:jc w:val="both"/>
        <w:rPr>
          <w:szCs w:val="22"/>
        </w:rPr>
      </w:pPr>
    </w:p>
    <w:p w14:paraId="1AF42274" w14:textId="77777777" w:rsidR="00690CEB" w:rsidRPr="00066E11" w:rsidRDefault="00690CEB" w:rsidP="00BF2214">
      <w:pPr>
        <w:ind w:firstLine="357"/>
        <w:jc w:val="both"/>
        <w:rPr>
          <w:szCs w:val="22"/>
        </w:rPr>
      </w:pPr>
      <w:r w:rsidRPr="00066E11">
        <w:rPr>
          <w:szCs w:val="22"/>
        </w:rPr>
        <w:t>The analysis results are as follows:</w:t>
      </w:r>
    </w:p>
    <w:p w14:paraId="22DA8EF0" w14:textId="77777777" w:rsidR="00690CEB" w:rsidRPr="00066E11" w:rsidRDefault="00690CEB" w:rsidP="00BF2214">
      <w:pPr>
        <w:ind w:firstLine="357"/>
        <w:jc w:val="both"/>
        <w:rPr>
          <w:i/>
          <w:iCs/>
          <w:szCs w:val="22"/>
        </w:rPr>
      </w:pPr>
      <w:r w:rsidRPr="00066E11">
        <w:rPr>
          <w:i/>
          <w:iCs/>
          <w:szCs w:val="22"/>
        </w:rPr>
        <w:t>- Cronbach's Alpha coefficient analysis</w:t>
      </w:r>
    </w:p>
    <w:p w14:paraId="35AA5C03" w14:textId="77777777" w:rsidR="00690CEB" w:rsidRPr="008B0B85" w:rsidRDefault="00690CEB" w:rsidP="00BF2214">
      <w:pPr>
        <w:ind w:firstLine="357"/>
        <w:jc w:val="both"/>
        <w:rPr>
          <w:spacing w:val="-2"/>
          <w:szCs w:val="22"/>
        </w:rPr>
      </w:pPr>
      <w:r w:rsidRPr="008B0B85">
        <w:rPr>
          <w:spacing w:val="-2"/>
          <w:szCs w:val="22"/>
        </w:rPr>
        <w:t xml:space="preserve">Cronbach's Alpha coefficients were analyzed for each of the factorial capacities with their observable variables, we have confidence coefficients of 0.6 and above with a variable-sum correlation greater than 0.4. </w:t>
      </w:r>
    </w:p>
    <w:p w14:paraId="6398BC39" w14:textId="77777777" w:rsidR="00690CEB" w:rsidRDefault="00690CEB" w:rsidP="00BF2214">
      <w:pPr>
        <w:ind w:firstLine="357"/>
        <w:jc w:val="both"/>
        <w:rPr>
          <w:szCs w:val="22"/>
        </w:rPr>
      </w:pPr>
      <w:r w:rsidRPr="0084614A">
        <w:rPr>
          <w:szCs w:val="22"/>
        </w:rPr>
        <w:t>With 10 component competence groups with 33 observation variables, we have the following results</w:t>
      </w:r>
      <w:r>
        <w:rPr>
          <w:szCs w:val="22"/>
        </w:rPr>
        <w:t>:</w:t>
      </w:r>
    </w:p>
    <w:p w14:paraId="7579CE71" w14:textId="77777777" w:rsidR="00690CEB" w:rsidRPr="00F933E1" w:rsidRDefault="00690CEB" w:rsidP="00E01E00">
      <w:pPr>
        <w:spacing w:before="240" w:after="80" w:line="200" w:lineRule="exact"/>
        <w:jc w:val="center"/>
        <w:rPr>
          <w:b/>
          <w:szCs w:val="22"/>
        </w:rPr>
      </w:pPr>
      <w:r w:rsidRPr="00F933E1">
        <w:rPr>
          <w:b/>
          <w:szCs w:val="22"/>
        </w:rPr>
        <w:t>Table 2- Reliability Cronbach's Alpha of the IT competence framework</w:t>
      </w:r>
    </w:p>
    <w:tbl>
      <w:tblPr>
        <w:tblW w:w="41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1417"/>
      </w:tblGrid>
      <w:tr w:rsidR="00690CEB" w:rsidRPr="00CD4125" w14:paraId="3DEA913F" w14:textId="77777777" w:rsidTr="00CD4125">
        <w:trPr>
          <w:cantSplit/>
          <w:jc w:val="center"/>
        </w:trPr>
        <w:tc>
          <w:tcPr>
            <w:tcW w:w="4111" w:type="dxa"/>
            <w:gridSpan w:val="2"/>
            <w:tcBorders>
              <w:top w:val="nil"/>
              <w:left w:val="nil"/>
              <w:bottom w:val="single" w:sz="2" w:space="0" w:color="000000"/>
              <w:right w:val="nil"/>
            </w:tcBorders>
            <w:shd w:val="clear" w:color="auto" w:fill="FFFFFF"/>
          </w:tcPr>
          <w:p w14:paraId="5CF1A8EE" w14:textId="77777777" w:rsidR="00690CEB" w:rsidRPr="00CD4125" w:rsidRDefault="00690CEB" w:rsidP="0023787E">
            <w:pPr>
              <w:ind w:firstLine="284"/>
              <w:rPr>
                <w:b/>
                <w:szCs w:val="20"/>
              </w:rPr>
            </w:pPr>
            <w:r w:rsidRPr="00CD4125">
              <w:rPr>
                <w:b/>
                <w:szCs w:val="20"/>
              </w:rPr>
              <w:t>Reliability Statistics</w:t>
            </w:r>
          </w:p>
        </w:tc>
      </w:tr>
      <w:tr w:rsidR="00690CEB" w:rsidRPr="000D5C8C" w14:paraId="6281CE8F" w14:textId="77777777" w:rsidTr="0023787E">
        <w:trPr>
          <w:cantSplit/>
          <w:jc w:val="center"/>
        </w:trPr>
        <w:tc>
          <w:tcPr>
            <w:tcW w:w="2694" w:type="dxa"/>
            <w:tcBorders>
              <w:top w:val="single" w:sz="2" w:space="0" w:color="000000"/>
              <w:left w:val="nil"/>
              <w:bottom w:val="single" w:sz="2" w:space="0" w:color="000000"/>
              <w:right w:val="nil"/>
            </w:tcBorders>
            <w:shd w:val="clear" w:color="auto" w:fill="FFFFFF"/>
          </w:tcPr>
          <w:p w14:paraId="6AD2EF1B" w14:textId="77777777" w:rsidR="00690CEB" w:rsidRPr="000D5C8C" w:rsidRDefault="00690CEB" w:rsidP="0018155D">
            <w:pPr>
              <w:jc w:val="center"/>
              <w:rPr>
                <w:color w:val="000000"/>
                <w:szCs w:val="20"/>
              </w:rPr>
            </w:pPr>
            <w:r w:rsidRPr="000D5C8C">
              <w:rPr>
                <w:color w:val="000000"/>
                <w:szCs w:val="20"/>
              </w:rPr>
              <w:t>Cronbach's Alpha</w:t>
            </w:r>
          </w:p>
        </w:tc>
        <w:tc>
          <w:tcPr>
            <w:tcW w:w="1417" w:type="dxa"/>
            <w:tcBorders>
              <w:top w:val="single" w:sz="2" w:space="0" w:color="000000"/>
              <w:left w:val="nil"/>
              <w:bottom w:val="single" w:sz="2" w:space="0" w:color="000000"/>
              <w:right w:val="nil"/>
            </w:tcBorders>
            <w:shd w:val="clear" w:color="auto" w:fill="FFFFFF"/>
          </w:tcPr>
          <w:p w14:paraId="392BDB1E" w14:textId="77777777" w:rsidR="00690CEB" w:rsidRPr="000D5C8C" w:rsidRDefault="00690CEB" w:rsidP="0018155D">
            <w:pPr>
              <w:ind w:firstLine="284"/>
              <w:jc w:val="center"/>
              <w:rPr>
                <w:color w:val="000000"/>
                <w:szCs w:val="20"/>
              </w:rPr>
            </w:pPr>
            <w:r w:rsidRPr="000D5C8C">
              <w:rPr>
                <w:color w:val="000000"/>
                <w:szCs w:val="20"/>
              </w:rPr>
              <w:t>N of Items</w:t>
            </w:r>
          </w:p>
        </w:tc>
      </w:tr>
      <w:tr w:rsidR="00690CEB" w:rsidRPr="000D5C8C" w14:paraId="48602629" w14:textId="77777777" w:rsidTr="0023787E">
        <w:trPr>
          <w:cantSplit/>
          <w:jc w:val="center"/>
        </w:trPr>
        <w:tc>
          <w:tcPr>
            <w:tcW w:w="2694" w:type="dxa"/>
            <w:tcBorders>
              <w:top w:val="single" w:sz="2" w:space="0" w:color="000000"/>
              <w:left w:val="nil"/>
              <w:bottom w:val="single" w:sz="2" w:space="0" w:color="auto"/>
              <w:right w:val="nil"/>
            </w:tcBorders>
            <w:shd w:val="clear" w:color="auto" w:fill="FFFFFF"/>
            <w:vAlign w:val="center"/>
          </w:tcPr>
          <w:p w14:paraId="28DE3ACA" w14:textId="77777777" w:rsidR="00690CEB" w:rsidRPr="000D5C8C" w:rsidRDefault="00690CEB" w:rsidP="0018155D">
            <w:pPr>
              <w:ind w:firstLine="284"/>
              <w:jc w:val="center"/>
              <w:rPr>
                <w:color w:val="000000"/>
                <w:szCs w:val="20"/>
              </w:rPr>
            </w:pPr>
            <w:r w:rsidRPr="000D5C8C">
              <w:rPr>
                <w:color w:val="000000"/>
                <w:szCs w:val="20"/>
              </w:rPr>
              <w:t>.791</w:t>
            </w:r>
          </w:p>
        </w:tc>
        <w:tc>
          <w:tcPr>
            <w:tcW w:w="1417" w:type="dxa"/>
            <w:tcBorders>
              <w:top w:val="single" w:sz="2" w:space="0" w:color="000000"/>
              <w:left w:val="nil"/>
              <w:bottom w:val="single" w:sz="2" w:space="0" w:color="auto"/>
              <w:right w:val="nil"/>
            </w:tcBorders>
            <w:shd w:val="clear" w:color="auto" w:fill="FFFFFF"/>
            <w:vAlign w:val="center"/>
          </w:tcPr>
          <w:p w14:paraId="70820E01" w14:textId="77777777" w:rsidR="00690CEB" w:rsidRPr="000D5C8C" w:rsidRDefault="00690CEB" w:rsidP="0018155D">
            <w:pPr>
              <w:ind w:firstLine="284"/>
              <w:jc w:val="center"/>
              <w:rPr>
                <w:color w:val="000000"/>
                <w:szCs w:val="20"/>
              </w:rPr>
            </w:pPr>
            <w:r w:rsidRPr="000D5C8C">
              <w:rPr>
                <w:color w:val="000000"/>
                <w:szCs w:val="20"/>
              </w:rPr>
              <w:t>33</w:t>
            </w:r>
          </w:p>
        </w:tc>
      </w:tr>
    </w:tbl>
    <w:p w14:paraId="2BA4DF05" w14:textId="77777777" w:rsidR="00BD07B0" w:rsidRDefault="00BD07B0" w:rsidP="00BD07B0">
      <w:pPr>
        <w:ind w:firstLine="357"/>
        <w:jc w:val="both"/>
        <w:rPr>
          <w:szCs w:val="22"/>
        </w:rPr>
      </w:pPr>
    </w:p>
    <w:p w14:paraId="6F0C7A69" w14:textId="77777777" w:rsidR="00690CEB" w:rsidRDefault="00690CEB" w:rsidP="00BD07B0">
      <w:pPr>
        <w:ind w:firstLine="357"/>
        <w:jc w:val="both"/>
        <w:rPr>
          <w:szCs w:val="22"/>
        </w:rPr>
      </w:pPr>
      <w:r w:rsidRPr="0084614A">
        <w:rPr>
          <w:szCs w:val="22"/>
        </w:rPr>
        <w:t>Example: With component competences of 3 competence group with 4 observation variables assigned: NL3_TC1, NL3_TC2, NL3_TC3, NL3_TC4, we have the following results</w:t>
      </w:r>
      <w:r>
        <w:rPr>
          <w:szCs w:val="22"/>
        </w:rPr>
        <w:t>:</w:t>
      </w:r>
    </w:p>
    <w:p w14:paraId="4CC105CE" w14:textId="77777777" w:rsidR="004F49A8" w:rsidRPr="00F933E1" w:rsidRDefault="004F49A8" w:rsidP="00CD4125">
      <w:pPr>
        <w:spacing w:before="240" w:after="80" w:line="200" w:lineRule="exact"/>
        <w:jc w:val="center"/>
        <w:rPr>
          <w:b/>
          <w:szCs w:val="22"/>
        </w:rPr>
      </w:pPr>
      <w:r w:rsidRPr="00F933E1">
        <w:rPr>
          <w:b/>
          <w:szCs w:val="22"/>
        </w:rPr>
        <w:t>Table 3 - Cronbach's Alpha of 3 competence group</w:t>
      </w:r>
    </w:p>
    <w:tbl>
      <w:tblPr>
        <w:tblW w:w="7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7"/>
        <w:gridCol w:w="425"/>
        <w:gridCol w:w="1044"/>
        <w:gridCol w:w="121"/>
        <w:gridCol w:w="1576"/>
        <w:gridCol w:w="1646"/>
        <w:gridCol w:w="1886"/>
      </w:tblGrid>
      <w:tr w:rsidR="004F49A8" w:rsidRPr="00CD4125" w14:paraId="770F3E16" w14:textId="77777777" w:rsidTr="00CD4125">
        <w:trPr>
          <w:gridAfter w:val="3"/>
          <w:wAfter w:w="5108" w:type="dxa"/>
          <w:cantSplit/>
          <w:jc w:val="center"/>
        </w:trPr>
        <w:tc>
          <w:tcPr>
            <w:tcW w:w="2677" w:type="dxa"/>
            <w:gridSpan w:val="4"/>
            <w:tcBorders>
              <w:top w:val="nil"/>
              <w:left w:val="nil"/>
              <w:bottom w:val="single" w:sz="2" w:space="0" w:color="000000"/>
              <w:right w:val="nil"/>
            </w:tcBorders>
            <w:shd w:val="clear" w:color="auto" w:fill="FFFFFF"/>
          </w:tcPr>
          <w:p w14:paraId="24088CD3" w14:textId="77777777" w:rsidR="004F49A8" w:rsidRPr="00CD4125" w:rsidRDefault="004F49A8" w:rsidP="003B1EAA">
            <w:pPr>
              <w:ind w:firstLine="284"/>
              <w:jc w:val="both"/>
              <w:rPr>
                <w:b/>
                <w:szCs w:val="20"/>
              </w:rPr>
            </w:pPr>
            <w:r w:rsidRPr="00CD4125">
              <w:rPr>
                <w:b/>
                <w:szCs w:val="20"/>
              </w:rPr>
              <w:t>Reliability Statistics</w:t>
            </w:r>
          </w:p>
        </w:tc>
      </w:tr>
      <w:tr w:rsidR="004F49A8" w:rsidRPr="000D5C8C" w14:paraId="5537854E" w14:textId="77777777" w:rsidTr="00CD4125">
        <w:trPr>
          <w:gridAfter w:val="3"/>
          <w:wAfter w:w="5108" w:type="dxa"/>
          <w:cantSplit/>
          <w:jc w:val="center"/>
        </w:trPr>
        <w:tc>
          <w:tcPr>
            <w:tcW w:w="1512" w:type="dxa"/>
            <w:gridSpan w:val="2"/>
            <w:tcBorders>
              <w:top w:val="single" w:sz="2" w:space="0" w:color="000000"/>
              <w:left w:val="nil"/>
              <w:bottom w:val="single" w:sz="2" w:space="0" w:color="000000"/>
              <w:right w:val="nil"/>
            </w:tcBorders>
            <w:shd w:val="clear" w:color="auto" w:fill="FFFFFF"/>
          </w:tcPr>
          <w:p w14:paraId="1ECDBE1E" w14:textId="77777777" w:rsidR="004F49A8" w:rsidRPr="000D5C8C" w:rsidRDefault="004F49A8" w:rsidP="0018155D">
            <w:pPr>
              <w:jc w:val="center"/>
              <w:rPr>
                <w:color w:val="000000"/>
                <w:szCs w:val="20"/>
              </w:rPr>
            </w:pPr>
            <w:r w:rsidRPr="000D5C8C">
              <w:rPr>
                <w:color w:val="000000"/>
                <w:szCs w:val="20"/>
              </w:rPr>
              <w:t>Cronbach's Alpha</w:t>
            </w:r>
          </w:p>
        </w:tc>
        <w:tc>
          <w:tcPr>
            <w:tcW w:w="1165" w:type="dxa"/>
            <w:gridSpan w:val="2"/>
            <w:tcBorders>
              <w:top w:val="single" w:sz="2" w:space="0" w:color="000000"/>
              <w:left w:val="nil"/>
              <w:bottom w:val="single" w:sz="2" w:space="0" w:color="000000"/>
              <w:right w:val="nil"/>
            </w:tcBorders>
            <w:shd w:val="clear" w:color="auto" w:fill="FFFFFF"/>
          </w:tcPr>
          <w:p w14:paraId="56033C92" w14:textId="77777777" w:rsidR="004F49A8" w:rsidRPr="000D5C8C" w:rsidRDefault="004F49A8" w:rsidP="0018155D">
            <w:pPr>
              <w:jc w:val="center"/>
              <w:rPr>
                <w:color w:val="000000"/>
                <w:szCs w:val="20"/>
              </w:rPr>
            </w:pPr>
            <w:r w:rsidRPr="000D5C8C">
              <w:rPr>
                <w:color w:val="000000"/>
                <w:szCs w:val="20"/>
              </w:rPr>
              <w:t>N of Items</w:t>
            </w:r>
          </w:p>
        </w:tc>
      </w:tr>
      <w:tr w:rsidR="004F49A8" w:rsidRPr="000D5C8C" w14:paraId="53D311BC" w14:textId="77777777" w:rsidTr="00CD4125">
        <w:trPr>
          <w:gridAfter w:val="3"/>
          <w:wAfter w:w="5108" w:type="dxa"/>
          <w:cantSplit/>
          <w:jc w:val="center"/>
        </w:trPr>
        <w:tc>
          <w:tcPr>
            <w:tcW w:w="1512" w:type="dxa"/>
            <w:gridSpan w:val="2"/>
            <w:tcBorders>
              <w:top w:val="single" w:sz="2" w:space="0" w:color="000000"/>
              <w:left w:val="nil"/>
              <w:bottom w:val="single" w:sz="2" w:space="0" w:color="000000"/>
              <w:right w:val="nil"/>
            </w:tcBorders>
            <w:shd w:val="clear" w:color="auto" w:fill="FFFFFF"/>
            <w:vAlign w:val="center"/>
          </w:tcPr>
          <w:p w14:paraId="4E01DA20" w14:textId="77777777" w:rsidR="004F49A8" w:rsidRPr="000D5C8C" w:rsidRDefault="004F49A8" w:rsidP="0018155D">
            <w:pPr>
              <w:ind w:firstLine="284"/>
              <w:jc w:val="center"/>
              <w:rPr>
                <w:color w:val="000000"/>
                <w:szCs w:val="20"/>
              </w:rPr>
            </w:pPr>
            <w:r w:rsidRPr="000D5C8C">
              <w:rPr>
                <w:color w:val="000000"/>
                <w:szCs w:val="20"/>
              </w:rPr>
              <w:t>.871</w:t>
            </w:r>
          </w:p>
        </w:tc>
        <w:tc>
          <w:tcPr>
            <w:tcW w:w="1165" w:type="dxa"/>
            <w:gridSpan w:val="2"/>
            <w:tcBorders>
              <w:top w:val="single" w:sz="2" w:space="0" w:color="000000"/>
              <w:left w:val="nil"/>
              <w:bottom w:val="single" w:sz="2" w:space="0" w:color="000000"/>
              <w:right w:val="nil"/>
            </w:tcBorders>
            <w:shd w:val="clear" w:color="auto" w:fill="FFFFFF"/>
            <w:vAlign w:val="center"/>
          </w:tcPr>
          <w:p w14:paraId="3819E0D5" w14:textId="77777777" w:rsidR="004F49A8" w:rsidRPr="000D5C8C" w:rsidRDefault="004F49A8" w:rsidP="0018155D">
            <w:pPr>
              <w:ind w:firstLine="284"/>
              <w:jc w:val="center"/>
              <w:rPr>
                <w:color w:val="000000"/>
                <w:szCs w:val="20"/>
              </w:rPr>
            </w:pPr>
            <w:r w:rsidRPr="000D5C8C">
              <w:rPr>
                <w:color w:val="000000"/>
                <w:szCs w:val="20"/>
              </w:rPr>
              <w:t>4</w:t>
            </w:r>
          </w:p>
        </w:tc>
      </w:tr>
      <w:tr w:rsidR="004F49A8" w:rsidRPr="00CD4125" w14:paraId="665B9245" w14:textId="77777777" w:rsidTr="009378D2">
        <w:trPr>
          <w:cantSplit/>
          <w:jc w:val="center"/>
        </w:trPr>
        <w:tc>
          <w:tcPr>
            <w:tcW w:w="7785" w:type="dxa"/>
            <w:gridSpan w:val="7"/>
            <w:tcBorders>
              <w:top w:val="nil"/>
              <w:left w:val="nil"/>
              <w:bottom w:val="single" w:sz="2" w:space="0" w:color="auto"/>
              <w:right w:val="nil"/>
            </w:tcBorders>
            <w:shd w:val="clear" w:color="auto" w:fill="FFFFFF"/>
          </w:tcPr>
          <w:p w14:paraId="635C48A3" w14:textId="77777777" w:rsidR="004F49A8" w:rsidRPr="00CD4125" w:rsidRDefault="004F49A8" w:rsidP="00E43166">
            <w:pPr>
              <w:spacing w:before="120"/>
              <w:ind w:firstLine="284"/>
              <w:jc w:val="both"/>
              <w:rPr>
                <w:b/>
                <w:color w:val="000000"/>
                <w:szCs w:val="20"/>
              </w:rPr>
            </w:pPr>
            <w:r w:rsidRPr="00CD4125">
              <w:rPr>
                <w:b/>
                <w:color w:val="000000"/>
                <w:szCs w:val="20"/>
              </w:rPr>
              <w:t>Item-Total Statistics</w:t>
            </w:r>
          </w:p>
        </w:tc>
      </w:tr>
      <w:tr w:rsidR="004F49A8" w:rsidRPr="000D5C8C" w14:paraId="475B0935" w14:textId="77777777" w:rsidTr="009378D2">
        <w:trPr>
          <w:cantSplit/>
          <w:jc w:val="center"/>
        </w:trPr>
        <w:tc>
          <w:tcPr>
            <w:tcW w:w="1087" w:type="dxa"/>
            <w:tcBorders>
              <w:top w:val="single" w:sz="2" w:space="0" w:color="auto"/>
              <w:left w:val="nil"/>
              <w:bottom w:val="single" w:sz="2" w:space="0" w:color="auto"/>
              <w:right w:val="nil"/>
            </w:tcBorders>
            <w:shd w:val="clear" w:color="auto" w:fill="FFFFFF"/>
          </w:tcPr>
          <w:p w14:paraId="620740F9" w14:textId="77777777" w:rsidR="004F49A8" w:rsidRPr="000D5C8C" w:rsidRDefault="004F49A8" w:rsidP="009378D2">
            <w:pPr>
              <w:ind w:firstLine="284"/>
              <w:jc w:val="center"/>
              <w:rPr>
                <w:color w:val="000000"/>
                <w:szCs w:val="20"/>
              </w:rPr>
            </w:pPr>
          </w:p>
        </w:tc>
        <w:tc>
          <w:tcPr>
            <w:tcW w:w="1469" w:type="dxa"/>
            <w:gridSpan w:val="2"/>
            <w:tcBorders>
              <w:top w:val="single" w:sz="2" w:space="0" w:color="auto"/>
              <w:left w:val="nil"/>
              <w:bottom w:val="single" w:sz="2" w:space="0" w:color="auto"/>
              <w:right w:val="nil"/>
            </w:tcBorders>
            <w:shd w:val="clear" w:color="auto" w:fill="FFFFFF"/>
          </w:tcPr>
          <w:p w14:paraId="4B547D7A" w14:textId="77777777" w:rsidR="004F49A8" w:rsidRPr="000D5C8C" w:rsidRDefault="004F49A8" w:rsidP="009378D2">
            <w:pPr>
              <w:jc w:val="center"/>
              <w:rPr>
                <w:color w:val="000000"/>
                <w:szCs w:val="20"/>
              </w:rPr>
            </w:pPr>
            <w:r w:rsidRPr="000D5C8C">
              <w:rPr>
                <w:color w:val="000000"/>
                <w:szCs w:val="20"/>
              </w:rPr>
              <w:t>Scale Mean if Item Deleted</w:t>
            </w:r>
          </w:p>
        </w:tc>
        <w:tc>
          <w:tcPr>
            <w:tcW w:w="1697" w:type="dxa"/>
            <w:gridSpan w:val="2"/>
            <w:tcBorders>
              <w:top w:val="single" w:sz="2" w:space="0" w:color="auto"/>
              <w:left w:val="nil"/>
              <w:bottom w:val="single" w:sz="2" w:space="0" w:color="auto"/>
              <w:right w:val="nil"/>
            </w:tcBorders>
            <w:shd w:val="clear" w:color="auto" w:fill="FFFFFF"/>
          </w:tcPr>
          <w:p w14:paraId="035E962E" w14:textId="77777777" w:rsidR="004F49A8" w:rsidRPr="000D5C8C" w:rsidRDefault="004F49A8" w:rsidP="009378D2">
            <w:pPr>
              <w:jc w:val="center"/>
              <w:rPr>
                <w:color w:val="000000"/>
                <w:szCs w:val="20"/>
              </w:rPr>
            </w:pPr>
            <w:r w:rsidRPr="000D5C8C">
              <w:rPr>
                <w:color w:val="000000"/>
                <w:szCs w:val="20"/>
              </w:rPr>
              <w:t>Scale Variance if Item Deleted</w:t>
            </w:r>
          </w:p>
        </w:tc>
        <w:tc>
          <w:tcPr>
            <w:tcW w:w="1646" w:type="dxa"/>
            <w:tcBorders>
              <w:top w:val="single" w:sz="2" w:space="0" w:color="auto"/>
              <w:left w:val="nil"/>
              <w:bottom w:val="single" w:sz="2" w:space="0" w:color="auto"/>
              <w:right w:val="nil"/>
            </w:tcBorders>
            <w:shd w:val="clear" w:color="auto" w:fill="FFFFFF"/>
          </w:tcPr>
          <w:p w14:paraId="5EB4028E" w14:textId="77777777" w:rsidR="004F49A8" w:rsidRPr="000D5C8C" w:rsidRDefault="004F49A8" w:rsidP="009378D2">
            <w:pPr>
              <w:jc w:val="center"/>
              <w:rPr>
                <w:color w:val="000000"/>
                <w:szCs w:val="20"/>
              </w:rPr>
            </w:pPr>
            <w:r w:rsidRPr="000D5C8C">
              <w:rPr>
                <w:color w:val="000000"/>
                <w:szCs w:val="20"/>
              </w:rPr>
              <w:t>Corrected Item-Total Correlation</w:t>
            </w:r>
          </w:p>
        </w:tc>
        <w:tc>
          <w:tcPr>
            <w:tcW w:w="1883" w:type="dxa"/>
            <w:tcBorders>
              <w:top w:val="single" w:sz="2" w:space="0" w:color="auto"/>
              <w:left w:val="nil"/>
              <w:bottom w:val="single" w:sz="2" w:space="0" w:color="auto"/>
              <w:right w:val="nil"/>
            </w:tcBorders>
            <w:shd w:val="clear" w:color="auto" w:fill="FFFFFF"/>
          </w:tcPr>
          <w:p w14:paraId="3AD2E2FE" w14:textId="77777777" w:rsidR="004F49A8" w:rsidRPr="000D5C8C" w:rsidRDefault="004F49A8" w:rsidP="009378D2">
            <w:pPr>
              <w:jc w:val="center"/>
              <w:rPr>
                <w:color w:val="000000"/>
                <w:szCs w:val="20"/>
              </w:rPr>
            </w:pPr>
            <w:r w:rsidRPr="000D5C8C">
              <w:rPr>
                <w:color w:val="000000"/>
                <w:szCs w:val="20"/>
              </w:rPr>
              <w:t>Cronbach's Alpha if Item Deleted</w:t>
            </w:r>
          </w:p>
        </w:tc>
      </w:tr>
      <w:tr w:rsidR="004F49A8" w:rsidRPr="000D5C8C" w14:paraId="07A4E975" w14:textId="77777777" w:rsidTr="009378D2">
        <w:trPr>
          <w:cantSplit/>
          <w:jc w:val="center"/>
        </w:trPr>
        <w:tc>
          <w:tcPr>
            <w:tcW w:w="1087" w:type="dxa"/>
            <w:tcBorders>
              <w:top w:val="single" w:sz="2" w:space="0" w:color="auto"/>
              <w:left w:val="nil"/>
              <w:bottom w:val="nil"/>
              <w:right w:val="nil"/>
            </w:tcBorders>
            <w:shd w:val="clear" w:color="auto" w:fill="FFFFFF"/>
            <w:vAlign w:val="center"/>
          </w:tcPr>
          <w:p w14:paraId="0A7D156B" w14:textId="77777777" w:rsidR="004F49A8" w:rsidRPr="000D5C8C" w:rsidRDefault="004F49A8" w:rsidP="003B1EAA">
            <w:pPr>
              <w:jc w:val="both"/>
              <w:rPr>
                <w:color w:val="000000"/>
                <w:szCs w:val="20"/>
              </w:rPr>
            </w:pPr>
            <w:r w:rsidRPr="000D5C8C">
              <w:rPr>
                <w:color w:val="000000"/>
                <w:szCs w:val="20"/>
              </w:rPr>
              <w:t>NL3_TC1</w:t>
            </w:r>
          </w:p>
        </w:tc>
        <w:tc>
          <w:tcPr>
            <w:tcW w:w="1469" w:type="dxa"/>
            <w:gridSpan w:val="2"/>
            <w:tcBorders>
              <w:top w:val="single" w:sz="2" w:space="0" w:color="auto"/>
              <w:left w:val="nil"/>
              <w:bottom w:val="nil"/>
              <w:right w:val="nil"/>
            </w:tcBorders>
            <w:shd w:val="clear" w:color="auto" w:fill="FFFFFF"/>
            <w:vAlign w:val="center"/>
          </w:tcPr>
          <w:p w14:paraId="7BAB5135" w14:textId="77777777" w:rsidR="004F49A8" w:rsidRPr="000D5C8C" w:rsidRDefault="004F49A8" w:rsidP="00905969">
            <w:pPr>
              <w:ind w:firstLine="284"/>
              <w:jc w:val="center"/>
              <w:rPr>
                <w:color w:val="000000"/>
                <w:szCs w:val="20"/>
              </w:rPr>
            </w:pPr>
            <w:r w:rsidRPr="000D5C8C">
              <w:rPr>
                <w:color w:val="000000"/>
                <w:szCs w:val="20"/>
              </w:rPr>
              <w:t>8.000</w:t>
            </w:r>
          </w:p>
        </w:tc>
        <w:tc>
          <w:tcPr>
            <w:tcW w:w="1697" w:type="dxa"/>
            <w:gridSpan w:val="2"/>
            <w:tcBorders>
              <w:top w:val="single" w:sz="2" w:space="0" w:color="auto"/>
              <w:left w:val="nil"/>
              <w:bottom w:val="nil"/>
              <w:right w:val="nil"/>
            </w:tcBorders>
            <w:shd w:val="clear" w:color="auto" w:fill="FFFFFF"/>
            <w:vAlign w:val="center"/>
          </w:tcPr>
          <w:p w14:paraId="765745F4" w14:textId="77777777" w:rsidR="004F49A8" w:rsidRPr="000D5C8C" w:rsidRDefault="004F49A8" w:rsidP="00905969">
            <w:pPr>
              <w:ind w:firstLine="284"/>
              <w:jc w:val="center"/>
              <w:rPr>
                <w:color w:val="000000"/>
                <w:szCs w:val="20"/>
              </w:rPr>
            </w:pPr>
            <w:r w:rsidRPr="000D5C8C">
              <w:rPr>
                <w:color w:val="000000"/>
                <w:szCs w:val="20"/>
              </w:rPr>
              <w:t>9.500</w:t>
            </w:r>
          </w:p>
        </w:tc>
        <w:tc>
          <w:tcPr>
            <w:tcW w:w="1646" w:type="dxa"/>
            <w:tcBorders>
              <w:top w:val="single" w:sz="2" w:space="0" w:color="auto"/>
              <w:left w:val="nil"/>
              <w:bottom w:val="nil"/>
              <w:right w:val="nil"/>
            </w:tcBorders>
            <w:shd w:val="clear" w:color="auto" w:fill="FFFFFF"/>
            <w:vAlign w:val="center"/>
          </w:tcPr>
          <w:p w14:paraId="0D238A78" w14:textId="77777777" w:rsidR="004F49A8" w:rsidRPr="000D5C8C" w:rsidRDefault="004F49A8" w:rsidP="00905969">
            <w:pPr>
              <w:ind w:firstLine="284"/>
              <w:jc w:val="center"/>
              <w:rPr>
                <w:color w:val="000000"/>
                <w:szCs w:val="20"/>
              </w:rPr>
            </w:pPr>
            <w:r w:rsidRPr="000D5C8C">
              <w:rPr>
                <w:color w:val="000000"/>
                <w:szCs w:val="20"/>
              </w:rPr>
              <w:t>.947</w:t>
            </w:r>
          </w:p>
        </w:tc>
        <w:tc>
          <w:tcPr>
            <w:tcW w:w="1883" w:type="dxa"/>
            <w:tcBorders>
              <w:top w:val="single" w:sz="2" w:space="0" w:color="auto"/>
              <w:left w:val="nil"/>
              <w:bottom w:val="nil"/>
              <w:right w:val="nil"/>
            </w:tcBorders>
            <w:shd w:val="clear" w:color="auto" w:fill="FFFFFF"/>
            <w:vAlign w:val="center"/>
          </w:tcPr>
          <w:p w14:paraId="2783D591" w14:textId="77777777" w:rsidR="004F49A8" w:rsidRPr="000D5C8C" w:rsidRDefault="004F49A8" w:rsidP="00905969">
            <w:pPr>
              <w:ind w:firstLine="284"/>
              <w:jc w:val="center"/>
              <w:rPr>
                <w:color w:val="000000"/>
                <w:szCs w:val="20"/>
              </w:rPr>
            </w:pPr>
            <w:r w:rsidRPr="000D5C8C">
              <w:rPr>
                <w:color w:val="000000"/>
                <w:szCs w:val="20"/>
              </w:rPr>
              <w:t>.866</w:t>
            </w:r>
          </w:p>
        </w:tc>
      </w:tr>
      <w:tr w:rsidR="004F49A8" w:rsidRPr="000D5C8C" w14:paraId="47F16945" w14:textId="77777777" w:rsidTr="00CD4125">
        <w:trPr>
          <w:cantSplit/>
          <w:jc w:val="center"/>
        </w:trPr>
        <w:tc>
          <w:tcPr>
            <w:tcW w:w="1087" w:type="dxa"/>
            <w:tcBorders>
              <w:top w:val="nil"/>
              <w:left w:val="nil"/>
              <w:bottom w:val="nil"/>
              <w:right w:val="nil"/>
            </w:tcBorders>
            <w:shd w:val="clear" w:color="auto" w:fill="FFFFFF"/>
            <w:vAlign w:val="center"/>
          </w:tcPr>
          <w:p w14:paraId="5C9CCF72" w14:textId="77777777" w:rsidR="004F49A8" w:rsidRPr="000D5C8C" w:rsidRDefault="004F49A8" w:rsidP="003B1EAA">
            <w:pPr>
              <w:jc w:val="both"/>
              <w:rPr>
                <w:color w:val="000000"/>
                <w:szCs w:val="20"/>
              </w:rPr>
            </w:pPr>
            <w:r w:rsidRPr="000D5C8C">
              <w:rPr>
                <w:color w:val="000000"/>
                <w:szCs w:val="20"/>
              </w:rPr>
              <w:t>NL3_TC2</w:t>
            </w:r>
          </w:p>
        </w:tc>
        <w:tc>
          <w:tcPr>
            <w:tcW w:w="1469" w:type="dxa"/>
            <w:gridSpan w:val="2"/>
            <w:tcBorders>
              <w:top w:val="nil"/>
              <w:left w:val="nil"/>
              <w:bottom w:val="nil"/>
              <w:right w:val="nil"/>
            </w:tcBorders>
            <w:shd w:val="clear" w:color="auto" w:fill="FFFFFF"/>
            <w:vAlign w:val="center"/>
          </w:tcPr>
          <w:p w14:paraId="06CF2D1F" w14:textId="77777777" w:rsidR="004F49A8" w:rsidRPr="000D5C8C" w:rsidRDefault="004F49A8" w:rsidP="00905969">
            <w:pPr>
              <w:ind w:firstLine="284"/>
              <w:jc w:val="center"/>
              <w:rPr>
                <w:color w:val="000000"/>
                <w:szCs w:val="20"/>
              </w:rPr>
            </w:pPr>
            <w:r w:rsidRPr="000D5C8C">
              <w:rPr>
                <w:color w:val="000000"/>
                <w:szCs w:val="20"/>
              </w:rPr>
              <w:t>7.600</w:t>
            </w:r>
          </w:p>
        </w:tc>
        <w:tc>
          <w:tcPr>
            <w:tcW w:w="1697" w:type="dxa"/>
            <w:gridSpan w:val="2"/>
            <w:tcBorders>
              <w:top w:val="nil"/>
              <w:left w:val="nil"/>
              <w:bottom w:val="nil"/>
              <w:right w:val="nil"/>
            </w:tcBorders>
            <w:shd w:val="clear" w:color="auto" w:fill="FFFFFF"/>
            <w:vAlign w:val="center"/>
          </w:tcPr>
          <w:p w14:paraId="5502B688" w14:textId="77777777" w:rsidR="004F49A8" w:rsidRPr="000D5C8C" w:rsidRDefault="004F49A8" w:rsidP="00905969">
            <w:pPr>
              <w:ind w:firstLine="284"/>
              <w:jc w:val="center"/>
              <w:rPr>
                <w:color w:val="000000"/>
                <w:szCs w:val="20"/>
              </w:rPr>
            </w:pPr>
            <w:r w:rsidRPr="000D5C8C">
              <w:rPr>
                <w:color w:val="000000"/>
                <w:szCs w:val="20"/>
              </w:rPr>
              <w:t>8.300</w:t>
            </w:r>
          </w:p>
        </w:tc>
        <w:tc>
          <w:tcPr>
            <w:tcW w:w="1646" w:type="dxa"/>
            <w:tcBorders>
              <w:top w:val="nil"/>
              <w:left w:val="nil"/>
              <w:bottom w:val="nil"/>
              <w:right w:val="nil"/>
            </w:tcBorders>
            <w:shd w:val="clear" w:color="auto" w:fill="FFFFFF"/>
            <w:vAlign w:val="center"/>
          </w:tcPr>
          <w:p w14:paraId="6421690E" w14:textId="77777777" w:rsidR="004F49A8" w:rsidRPr="000D5C8C" w:rsidRDefault="004F49A8" w:rsidP="00905969">
            <w:pPr>
              <w:ind w:firstLine="284"/>
              <w:jc w:val="center"/>
              <w:rPr>
                <w:color w:val="000000"/>
                <w:szCs w:val="20"/>
              </w:rPr>
            </w:pPr>
            <w:r w:rsidRPr="000D5C8C">
              <w:rPr>
                <w:color w:val="000000"/>
                <w:szCs w:val="20"/>
              </w:rPr>
              <w:t>.868</w:t>
            </w:r>
          </w:p>
        </w:tc>
        <w:tc>
          <w:tcPr>
            <w:tcW w:w="1883" w:type="dxa"/>
            <w:tcBorders>
              <w:top w:val="nil"/>
              <w:left w:val="nil"/>
              <w:bottom w:val="nil"/>
              <w:right w:val="nil"/>
            </w:tcBorders>
            <w:shd w:val="clear" w:color="auto" w:fill="FFFFFF"/>
            <w:vAlign w:val="center"/>
          </w:tcPr>
          <w:p w14:paraId="70C81C45" w14:textId="77777777" w:rsidR="004F49A8" w:rsidRPr="000D5C8C" w:rsidRDefault="004F49A8" w:rsidP="00905969">
            <w:pPr>
              <w:ind w:firstLine="284"/>
              <w:jc w:val="center"/>
              <w:rPr>
                <w:color w:val="000000"/>
                <w:szCs w:val="20"/>
              </w:rPr>
            </w:pPr>
            <w:r w:rsidRPr="000D5C8C">
              <w:rPr>
                <w:color w:val="000000"/>
                <w:szCs w:val="20"/>
              </w:rPr>
              <w:t>.723</w:t>
            </w:r>
          </w:p>
        </w:tc>
      </w:tr>
      <w:tr w:rsidR="004F49A8" w:rsidRPr="000D5C8C" w14:paraId="350FDE47" w14:textId="77777777" w:rsidTr="00CD4125">
        <w:trPr>
          <w:cantSplit/>
          <w:jc w:val="center"/>
        </w:trPr>
        <w:tc>
          <w:tcPr>
            <w:tcW w:w="1087" w:type="dxa"/>
            <w:tcBorders>
              <w:top w:val="nil"/>
              <w:left w:val="nil"/>
              <w:bottom w:val="nil"/>
              <w:right w:val="nil"/>
            </w:tcBorders>
            <w:shd w:val="clear" w:color="auto" w:fill="FFFFFF"/>
            <w:vAlign w:val="center"/>
          </w:tcPr>
          <w:p w14:paraId="13604C9E" w14:textId="77777777" w:rsidR="004F49A8" w:rsidRPr="000D5C8C" w:rsidRDefault="004F49A8" w:rsidP="003B1EAA">
            <w:pPr>
              <w:jc w:val="both"/>
              <w:rPr>
                <w:color w:val="000000"/>
                <w:szCs w:val="20"/>
              </w:rPr>
            </w:pPr>
            <w:r w:rsidRPr="000D5C8C">
              <w:rPr>
                <w:color w:val="000000"/>
                <w:szCs w:val="20"/>
              </w:rPr>
              <w:t>NL3_TC3</w:t>
            </w:r>
          </w:p>
        </w:tc>
        <w:tc>
          <w:tcPr>
            <w:tcW w:w="1469" w:type="dxa"/>
            <w:gridSpan w:val="2"/>
            <w:tcBorders>
              <w:top w:val="nil"/>
              <w:left w:val="nil"/>
              <w:bottom w:val="nil"/>
              <w:right w:val="nil"/>
            </w:tcBorders>
            <w:shd w:val="clear" w:color="auto" w:fill="FFFFFF"/>
            <w:vAlign w:val="center"/>
          </w:tcPr>
          <w:p w14:paraId="706806FD" w14:textId="77777777" w:rsidR="004F49A8" w:rsidRPr="000D5C8C" w:rsidRDefault="004F49A8" w:rsidP="00905969">
            <w:pPr>
              <w:ind w:firstLine="284"/>
              <w:jc w:val="center"/>
              <w:rPr>
                <w:color w:val="000000"/>
                <w:szCs w:val="20"/>
              </w:rPr>
            </w:pPr>
            <w:r w:rsidRPr="000D5C8C">
              <w:rPr>
                <w:color w:val="000000"/>
                <w:szCs w:val="20"/>
              </w:rPr>
              <w:t>7.500</w:t>
            </w:r>
          </w:p>
        </w:tc>
        <w:tc>
          <w:tcPr>
            <w:tcW w:w="1697" w:type="dxa"/>
            <w:gridSpan w:val="2"/>
            <w:tcBorders>
              <w:top w:val="nil"/>
              <w:left w:val="nil"/>
              <w:bottom w:val="nil"/>
              <w:right w:val="nil"/>
            </w:tcBorders>
            <w:shd w:val="clear" w:color="auto" w:fill="FFFFFF"/>
            <w:vAlign w:val="center"/>
          </w:tcPr>
          <w:p w14:paraId="61E0FD96" w14:textId="77777777" w:rsidR="004F49A8" w:rsidRPr="000D5C8C" w:rsidRDefault="004F49A8" w:rsidP="00905969">
            <w:pPr>
              <w:ind w:firstLine="284"/>
              <w:jc w:val="center"/>
              <w:rPr>
                <w:color w:val="000000"/>
                <w:szCs w:val="20"/>
              </w:rPr>
            </w:pPr>
            <w:r w:rsidRPr="000D5C8C">
              <w:rPr>
                <w:color w:val="000000"/>
                <w:szCs w:val="20"/>
              </w:rPr>
              <w:t>8.200</w:t>
            </w:r>
          </w:p>
        </w:tc>
        <w:tc>
          <w:tcPr>
            <w:tcW w:w="1646" w:type="dxa"/>
            <w:tcBorders>
              <w:top w:val="nil"/>
              <w:left w:val="nil"/>
              <w:bottom w:val="nil"/>
              <w:right w:val="nil"/>
            </w:tcBorders>
            <w:shd w:val="clear" w:color="auto" w:fill="FFFFFF"/>
            <w:vAlign w:val="center"/>
          </w:tcPr>
          <w:p w14:paraId="0F6D5011" w14:textId="77777777" w:rsidR="004F49A8" w:rsidRPr="000D5C8C" w:rsidRDefault="004F49A8" w:rsidP="00905969">
            <w:pPr>
              <w:ind w:firstLine="284"/>
              <w:jc w:val="center"/>
              <w:rPr>
                <w:color w:val="000000"/>
                <w:szCs w:val="20"/>
              </w:rPr>
            </w:pPr>
            <w:r w:rsidRPr="000D5C8C">
              <w:rPr>
                <w:color w:val="000000"/>
                <w:szCs w:val="20"/>
              </w:rPr>
              <w:t>.866</w:t>
            </w:r>
          </w:p>
        </w:tc>
        <w:tc>
          <w:tcPr>
            <w:tcW w:w="1883" w:type="dxa"/>
            <w:tcBorders>
              <w:top w:val="nil"/>
              <w:left w:val="nil"/>
              <w:bottom w:val="nil"/>
              <w:right w:val="nil"/>
            </w:tcBorders>
            <w:shd w:val="clear" w:color="auto" w:fill="FFFFFF"/>
            <w:vAlign w:val="center"/>
          </w:tcPr>
          <w:p w14:paraId="6FA55737" w14:textId="77777777" w:rsidR="004F49A8" w:rsidRPr="000D5C8C" w:rsidRDefault="004F49A8" w:rsidP="00905969">
            <w:pPr>
              <w:ind w:firstLine="284"/>
              <w:jc w:val="center"/>
              <w:rPr>
                <w:color w:val="000000"/>
                <w:szCs w:val="20"/>
              </w:rPr>
            </w:pPr>
            <w:r w:rsidRPr="000D5C8C">
              <w:rPr>
                <w:color w:val="000000"/>
                <w:szCs w:val="20"/>
              </w:rPr>
              <w:t>.721</w:t>
            </w:r>
          </w:p>
        </w:tc>
      </w:tr>
      <w:tr w:rsidR="004F49A8" w:rsidRPr="000D5C8C" w14:paraId="6C702522" w14:textId="77777777" w:rsidTr="00CD4125">
        <w:trPr>
          <w:cantSplit/>
          <w:jc w:val="center"/>
        </w:trPr>
        <w:tc>
          <w:tcPr>
            <w:tcW w:w="1087" w:type="dxa"/>
            <w:tcBorders>
              <w:top w:val="nil"/>
              <w:left w:val="nil"/>
              <w:bottom w:val="single" w:sz="2" w:space="0" w:color="000000"/>
              <w:right w:val="nil"/>
            </w:tcBorders>
            <w:shd w:val="clear" w:color="auto" w:fill="FFFFFF"/>
            <w:vAlign w:val="center"/>
          </w:tcPr>
          <w:p w14:paraId="3CCF2907" w14:textId="77777777" w:rsidR="004F49A8" w:rsidRPr="000D5C8C" w:rsidRDefault="004F49A8" w:rsidP="003B1EAA">
            <w:pPr>
              <w:jc w:val="both"/>
              <w:rPr>
                <w:color w:val="000000"/>
                <w:szCs w:val="20"/>
              </w:rPr>
            </w:pPr>
            <w:r w:rsidRPr="000D5C8C">
              <w:rPr>
                <w:color w:val="000000"/>
                <w:szCs w:val="20"/>
              </w:rPr>
              <w:t>NL3_TC4</w:t>
            </w:r>
          </w:p>
        </w:tc>
        <w:tc>
          <w:tcPr>
            <w:tcW w:w="1469" w:type="dxa"/>
            <w:gridSpan w:val="2"/>
            <w:tcBorders>
              <w:top w:val="nil"/>
              <w:left w:val="nil"/>
              <w:bottom w:val="single" w:sz="2" w:space="0" w:color="000000"/>
              <w:right w:val="nil"/>
            </w:tcBorders>
            <w:shd w:val="clear" w:color="auto" w:fill="FFFFFF"/>
            <w:vAlign w:val="center"/>
          </w:tcPr>
          <w:p w14:paraId="7265C636" w14:textId="77777777" w:rsidR="004F49A8" w:rsidRPr="000D5C8C" w:rsidRDefault="004F49A8" w:rsidP="00905969">
            <w:pPr>
              <w:ind w:firstLine="284"/>
              <w:jc w:val="center"/>
              <w:rPr>
                <w:color w:val="000000"/>
                <w:szCs w:val="20"/>
              </w:rPr>
            </w:pPr>
            <w:r w:rsidRPr="000D5C8C">
              <w:rPr>
                <w:color w:val="000000"/>
                <w:szCs w:val="20"/>
              </w:rPr>
              <w:t>7.600</w:t>
            </w:r>
          </w:p>
        </w:tc>
        <w:tc>
          <w:tcPr>
            <w:tcW w:w="1697" w:type="dxa"/>
            <w:gridSpan w:val="2"/>
            <w:tcBorders>
              <w:top w:val="nil"/>
              <w:left w:val="nil"/>
              <w:bottom w:val="single" w:sz="2" w:space="0" w:color="000000"/>
              <w:right w:val="nil"/>
            </w:tcBorders>
            <w:shd w:val="clear" w:color="auto" w:fill="FFFFFF"/>
            <w:vAlign w:val="center"/>
          </w:tcPr>
          <w:p w14:paraId="4571E932" w14:textId="77777777" w:rsidR="004F49A8" w:rsidRPr="000D5C8C" w:rsidRDefault="004F49A8" w:rsidP="00905969">
            <w:pPr>
              <w:ind w:firstLine="284"/>
              <w:jc w:val="center"/>
              <w:rPr>
                <w:color w:val="000000"/>
                <w:szCs w:val="20"/>
              </w:rPr>
            </w:pPr>
            <w:r w:rsidRPr="000D5C8C">
              <w:rPr>
                <w:color w:val="000000"/>
                <w:szCs w:val="20"/>
              </w:rPr>
              <w:t>8.300</w:t>
            </w:r>
          </w:p>
        </w:tc>
        <w:tc>
          <w:tcPr>
            <w:tcW w:w="1646" w:type="dxa"/>
            <w:tcBorders>
              <w:top w:val="nil"/>
              <w:left w:val="nil"/>
              <w:bottom w:val="single" w:sz="2" w:space="0" w:color="000000"/>
              <w:right w:val="nil"/>
            </w:tcBorders>
            <w:shd w:val="clear" w:color="auto" w:fill="FFFFFF"/>
            <w:vAlign w:val="center"/>
          </w:tcPr>
          <w:p w14:paraId="3E0C0C70" w14:textId="77777777" w:rsidR="004F49A8" w:rsidRPr="000D5C8C" w:rsidRDefault="004F49A8" w:rsidP="00905969">
            <w:pPr>
              <w:ind w:firstLine="284"/>
              <w:jc w:val="center"/>
              <w:rPr>
                <w:color w:val="000000"/>
                <w:szCs w:val="20"/>
              </w:rPr>
            </w:pPr>
            <w:r w:rsidRPr="000D5C8C">
              <w:rPr>
                <w:color w:val="000000"/>
                <w:szCs w:val="20"/>
              </w:rPr>
              <w:t>.868</w:t>
            </w:r>
          </w:p>
        </w:tc>
        <w:tc>
          <w:tcPr>
            <w:tcW w:w="1883" w:type="dxa"/>
            <w:tcBorders>
              <w:top w:val="nil"/>
              <w:left w:val="nil"/>
              <w:bottom w:val="single" w:sz="2" w:space="0" w:color="000000"/>
              <w:right w:val="nil"/>
            </w:tcBorders>
            <w:shd w:val="clear" w:color="auto" w:fill="FFFFFF"/>
            <w:vAlign w:val="center"/>
          </w:tcPr>
          <w:p w14:paraId="6F460664" w14:textId="77777777" w:rsidR="004F49A8" w:rsidRPr="000D5C8C" w:rsidRDefault="004F49A8" w:rsidP="00905969">
            <w:pPr>
              <w:ind w:firstLine="284"/>
              <w:jc w:val="center"/>
              <w:rPr>
                <w:color w:val="000000"/>
                <w:szCs w:val="20"/>
              </w:rPr>
            </w:pPr>
            <w:r w:rsidRPr="000D5C8C">
              <w:rPr>
                <w:color w:val="000000"/>
                <w:szCs w:val="20"/>
              </w:rPr>
              <w:t>.723</w:t>
            </w:r>
          </w:p>
        </w:tc>
      </w:tr>
    </w:tbl>
    <w:p w14:paraId="254D7E77" w14:textId="77777777" w:rsidR="00BD07B0" w:rsidRDefault="00BD07B0" w:rsidP="00BD07B0">
      <w:pPr>
        <w:ind w:firstLine="357"/>
        <w:jc w:val="both"/>
        <w:rPr>
          <w:i/>
          <w:iCs/>
          <w:szCs w:val="22"/>
        </w:rPr>
      </w:pPr>
    </w:p>
    <w:p w14:paraId="28F9717A" w14:textId="77777777" w:rsidR="0056038A" w:rsidRPr="00066E11" w:rsidRDefault="0056038A" w:rsidP="00BD07B0">
      <w:pPr>
        <w:ind w:firstLine="357"/>
        <w:jc w:val="both"/>
        <w:rPr>
          <w:i/>
          <w:iCs/>
          <w:szCs w:val="22"/>
        </w:rPr>
      </w:pPr>
      <w:r w:rsidRPr="00066E11">
        <w:rPr>
          <w:i/>
          <w:iCs/>
          <w:szCs w:val="22"/>
        </w:rPr>
        <w:t>- Analyzing the EFA Factor</w:t>
      </w:r>
    </w:p>
    <w:p w14:paraId="04830B6C" w14:textId="77777777" w:rsidR="0056038A" w:rsidRPr="0084614A" w:rsidRDefault="0056038A" w:rsidP="00BD07B0">
      <w:pPr>
        <w:ind w:firstLine="357"/>
        <w:jc w:val="both"/>
        <w:rPr>
          <w:szCs w:val="22"/>
        </w:rPr>
      </w:pPr>
      <w:r w:rsidRPr="0084614A">
        <w:rPr>
          <w:szCs w:val="22"/>
        </w:rPr>
        <w:t>When analyzing the exploratory factor for each component competence, we have the observed variables converge on an element, which has a relatively high Factor of load and is greater than 0.5. The KMO (Kaiser-Meyer-</w:t>
      </w:r>
      <w:proofErr w:type="spellStart"/>
      <w:r w:rsidRPr="0084614A">
        <w:rPr>
          <w:szCs w:val="22"/>
        </w:rPr>
        <w:t>Olkin</w:t>
      </w:r>
      <w:proofErr w:type="spellEnd"/>
      <w:r w:rsidRPr="0084614A">
        <w:rPr>
          <w:szCs w:val="22"/>
        </w:rPr>
        <w:t>) coefficient is in the range of 0.5 ≤ KMO ≤ 1 and has the Bartlett Sig. &lt;0.05.</w:t>
      </w:r>
    </w:p>
    <w:p w14:paraId="3259E742" w14:textId="77777777" w:rsidR="0056038A" w:rsidRPr="0084614A" w:rsidRDefault="0056038A" w:rsidP="00BD07B0">
      <w:pPr>
        <w:ind w:firstLine="357"/>
        <w:jc w:val="both"/>
        <w:rPr>
          <w:szCs w:val="22"/>
        </w:rPr>
      </w:pPr>
      <w:r w:rsidRPr="0084614A">
        <w:rPr>
          <w:szCs w:val="22"/>
        </w:rPr>
        <w:t>For example, with 3 component competence group, we have the following result:</w:t>
      </w:r>
    </w:p>
    <w:p w14:paraId="3E098B38" w14:textId="77777777" w:rsidR="0056038A" w:rsidRPr="00F933E1" w:rsidRDefault="0056038A" w:rsidP="00A43024">
      <w:pPr>
        <w:spacing w:before="240" w:after="80" w:line="200" w:lineRule="exact"/>
        <w:jc w:val="center"/>
        <w:rPr>
          <w:b/>
          <w:szCs w:val="22"/>
        </w:rPr>
      </w:pPr>
      <w:r w:rsidRPr="00F933E1">
        <w:rPr>
          <w:b/>
          <w:szCs w:val="22"/>
        </w:rPr>
        <w:t xml:space="preserve">Table 4 - </w:t>
      </w:r>
      <w:r w:rsidRPr="00F933E1">
        <w:rPr>
          <w:b/>
          <w:iCs/>
          <w:szCs w:val="22"/>
        </w:rPr>
        <w:t>KMO factor</w:t>
      </w:r>
      <w:r w:rsidRPr="00F933E1">
        <w:rPr>
          <w:b/>
          <w:szCs w:val="22"/>
        </w:rPr>
        <w:t xml:space="preserve"> of 3 competence group</w:t>
      </w:r>
    </w:p>
    <w:tbl>
      <w:tblPr>
        <w:tblW w:w="5843" w:type="dxa"/>
        <w:jc w:val="center"/>
        <w:tblLayout w:type="fixed"/>
        <w:tblCellMar>
          <w:left w:w="0" w:type="dxa"/>
          <w:right w:w="0" w:type="dxa"/>
        </w:tblCellMar>
        <w:tblLook w:val="0000" w:firstRow="0" w:lastRow="0" w:firstColumn="0" w:lastColumn="0" w:noHBand="0" w:noVBand="0"/>
      </w:tblPr>
      <w:tblGrid>
        <w:gridCol w:w="2480"/>
        <w:gridCol w:w="2341"/>
        <w:gridCol w:w="1022"/>
      </w:tblGrid>
      <w:tr w:rsidR="0056038A" w:rsidRPr="00A43024" w14:paraId="0F56032A" w14:textId="77777777" w:rsidTr="00A43024">
        <w:trPr>
          <w:cantSplit/>
          <w:jc w:val="center"/>
        </w:trPr>
        <w:tc>
          <w:tcPr>
            <w:tcW w:w="5843" w:type="dxa"/>
            <w:gridSpan w:val="3"/>
            <w:tcBorders>
              <w:bottom w:val="single" w:sz="2" w:space="0" w:color="auto"/>
            </w:tcBorders>
            <w:shd w:val="clear" w:color="auto" w:fill="FFFFFF"/>
          </w:tcPr>
          <w:p w14:paraId="0F2EBEAF" w14:textId="77777777" w:rsidR="0056038A" w:rsidRPr="00A43024" w:rsidRDefault="0056038A" w:rsidP="003B1EAA">
            <w:pPr>
              <w:ind w:firstLine="284"/>
              <w:jc w:val="both"/>
              <w:rPr>
                <w:b/>
                <w:color w:val="000000"/>
                <w:szCs w:val="20"/>
              </w:rPr>
            </w:pPr>
            <w:r w:rsidRPr="00A43024">
              <w:rPr>
                <w:b/>
                <w:color w:val="000000"/>
                <w:szCs w:val="20"/>
              </w:rPr>
              <w:t>KMO and Bartlett's Test</w:t>
            </w:r>
          </w:p>
        </w:tc>
      </w:tr>
      <w:tr w:rsidR="0056038A" w:rsidRPr="000D5C8C" w14:paraId="7D8B7E72" w14:textId="77777777" w:rsidTr="00A43024">
        <w:trPr>
          <w:cantSplit/>
          <w:jc w:val="center"/>
        </w:trPr>
        <w:tc>
          <w:tcPr>
            <w:tcW w:w="4821" w:type="dxa"/>
            <w:gridSpan w:val="2"/>
            <w:tcBorders>
              <w:top w:val="single" w:sz="2" w:space="0" w:color="auto"/>
            </w:tcBorders>
            <w:shd w:val="clear" w:color="auto" w:fill="FFFFFF"/>
            <w:vAlign w:val="center"/>
          </w:tcPr>
          <w:p w14:paraId="71C40F96" w14:textId="77777777" w:rsidR="0056038A" w:rsidRPr="000D5C8C" w:rsidRDefault="0056038A" w:rsidP="003B1EAA">
            <w:pPr>
              <w:jc w:val="both"/>
              <w:rPr>
                <w:color w:val="000000"/>
                <w:szCs w:val="20"/>
              </w:rPr>
            </w:pPr>
            <w:r w:rsidRPr="000D5C8C">
              <w:rPr>
                <w:color w:val="000000"/>
                <w:szCs w:val="20"/>
              </w:rPr>
              <w:t>Kaiser-Meyer-</w:t>
            </w:r>
            <w:proofErr w:type="spellStart"/>
            <w:r w:rsidRPr="000D5C8C">
              <w:rPr>
                <w:color w:val="000000"/>
                <w:szCs w:val="20"/>
              </w:rPr>
              <w:t>Olkin</w:t>
            </w:r>
            <w:proofErr w:type="spellEnd"/>
            <w:r w:rsidRPr="000D5C8C">
              <w:rPr>
                <w:color w:val="000000"/>
                <w:szCs w:val="20"/>
              </w:rPr>
              <w:t xml:space="preserve"> Measure of Sampling Adequacy.</w:t>
            </w:r>
          </w:p>
        </w:tc>
        <w:tc>
          <w:tcPr>
            <w:tcW w:w="1022" w:type="dxa"/>
            <w:tcBorders>
              <w:top w:val="single" w:sz="2" w:space="0" w:color="auto"/>
            </w:tcBorders>
            <w:shd w:val="clear" w:color="auto" w:fill="FFFFFF"/>
            <w:vAlign w:val="center"/>
          </w:tcPr>
          <w:p w14:paraId="0996E994" w14:textId="77777777" w:rsidR="0056038A" w:rsidRPr="000D5C8C" w:rsidRDefault="0056038A" w:rsidP="003B1EAA">
            <w:pPr>
              <w:ind w:firstLine="284"/>
              <w:jc w:val="right"/>
              <w:rPr>
                <w:color w:val="000000"/>
                <w:szCs w:val="20"/>
              </w:rPr>
            </w:pPr>
            <w:r w:rsidRPr="000D5C8C">
              <w:rPr>
                <w:color w:val="000000"/>
                <w:szCs w:val="20"/>
              </w:rPr>
              <w:t>.794</w:t>
            </w:r>
          </w:p>
        </w:tc>
      </w:tr>
      <w:tr w:rsidR="0056038A" w:rsidRPr="000D5C8C" w14:paraId="24380EAB" w14:textId="77777777" w:rsidTr="00A43024">
        <w:trPr>
          <w:cantSplit/>
          <w:jc w:val="center"/>
        </w:trPr>
        <w:tc>
          <w:tcPr>
            <w:tcW w:w="2480" w:type="dxa"/>
            <w:vMerge w:val="restart"/>
            <w:shd w:val="clear" w:color="auto" w:fill="FFFFFF"/>
            <w:vAlign w:val="center"/>
          </w:tcPr>
          <w:p w14:paraId="6B7ED7A5" w14:textId="77777777" w:rsidR="0056038A" w:rsidRPr="000D5C8C" w:rsidRDefault="0056038A" w:rsidP="003B1EAA">
            <w:pPr>
              <w:jc w:val="both"/>
              <w:rPr>
                <w:color w:val="000000"/>
                <w:szCs w:val="20"/>
              </w:rPr>
            </w:pPr>
            <w:r w:rsidRPr="000D5C8C">
              <w:rPr>
                <w:color w:val="000000"/>
                <w:szCs w:val="20"/>
              </w:rPr>
              <w:t xml:space="preserve">Bartlett's Test of </w:t>
            </w:r>
            <w:proofErr w:type="spellStart"/>
            <w:r w:rsidRPr="000D5C8C">
              <w:rPr>
                <w:color w:val="000000"/>
                <w:szCs w:val="20"/>
              </w:rPr>
              <w:t>Sphericity</w:t>
            </w:r>
            <w:proofErr w:type="spellEnd"/>
          </w:p>
        </w:tc>
        <w:tc>
          <w:tcPr>
            <w:tcW w:w="2341" w:type="dxa"/>
            <w:shd w:val="clear" w:color="auto" w:fill="FFFFFF"/>
            <w:vAlign w:val="center"/>
          </w:tcPr>
          <w:p w14:paraId="7C23B512" w14:textId="77777777" w:rsidR="0056038A" w:rsidRPr="000D5C8C" w:rsidRDefault="0056038A" w:rsidP="003B1EAA">
            <w:pPr>
              <w:ind w:firstLine="284"/>
              <w:jc w:val="both"/>
              <w:rPr>
                <w:color w:val="000000"/>
                <w:szCs w:val="20"/>
              </w:rPr>
            </w:pPr>
            <w:r w:rsidRPr="000D5C8C">
              <w:rPr>
                <w:color w:val="000000"/>
                <w:szCs w:val="20"/>
              </w:rPr>
              <w:t>Approx. Chi-Square</w:t>
            </w:r>
          </w:p>
        </w:tc>
        <w:tc>
          <w:tcPr>
            <w:tcW w:w="1022" w:type="dxa"/>
            <w:shd w:val="clear" w:color="auto" w:fill="FFFFFF"/>
            <w:vAlign w:val="center"/>
          </w:tcPr>
          <w:p w14:paraId="00E6758B" w14:textId="77777777" w:rsidR="0056038A" w:rsidRPr="000D5C8C" w:rsidRDefault="0056038A" w:rsidP="003B1EAA">
            <w:pPr>
              <w:ind w:firstLine="284"/>
              <w:jc w:val="right"/>
              <w:rPr>
                <w:color w:val="000000"/>
                <w:szCs w:val="20"/>
              </w:rPr>
            </w:pPr>
            <w:r w:rsidRPr="000D5C8C">
              <w:rPr>
                <w:color w:val="000000"/>
                <w:szCs w:val="20"/>
              </w:rPr>
              <w:t>521.832</w:t>
            </w:r>
          </w:p>
        </w:tc>
      </w:tr>
      <w:tr w:rsidR="0056038A" w:rsidRPr="000D5C8C" w14:paraId="48483F48" w14:textId="77777777" w:rsidTr="00A43024">
        <w:trPr>
          <w:cantSplit/>
          <w:jc w:val="center"/>
        </w:trPr>
        <w:tc>
          <w:tcPr>
            <w:tcW w:w="2480" w:type="dxa"/>
            <w:vMerge/>
            <w:shd w:val="clear" w:color="auto" w:fill="FFFFFF"/>
            <w:vAlign w:val="center"/>
          </w:tcPr>
          <w:p w14:paraId="1597804E" w14:textId="77777777" w:rsidR="0056038A" w:rsidRPr="000D5C8C" w:rsidRDefault="0056038A" w:rsidP="003B1EAA">
            <w:pPr>
              <w:ind w:firstLine="284"/>
              <w:jc w:val="both"/>
              <w:rPr>
                <w:color w:val="000000"/>
                <w:szCs w:val="20"/>
              </w:rPr>
            </w:pPr>
          </w:p>
        </w:tc>
        <w:tc>
          <w:tcPr>
            <w:tcW w:w="2341" w:type="dxa"/>
            <w:shd w:val="clear" w:color="auto" w:fill="FFFFFF"/>
            <w:vAlign w:val="center"/>
          </w:tcPr>
          <w:p w14:paraId="7021E891" w14:textId="77777777" w:rsidR="0056038A" w:rsidRPr="000D5C8C" w:rsidRDefault="0056038A" w:rsidP="003B1EAA">
            <w:pPr>
              <w:ind w:firstLine="284"/>
              <w:jc w:val="both"/>
              <w:rPr>
                <w:color w:val="000000"/>
                <w:szCs w:val="20"/>
              </w:rPr>
            </w:pPr>
            <w:proofErr w:type="spellStart"/>
            <w:r w:rsidRPr="000D5C8C">
              <w:rPr>
                <w:color w:val="000000"/>
                <w:szCs w:val="20"/>
              </w:rPr>
              <w:t>df</w:t>
            </w:r>
            <w:proofErr w:type="spellEnd"/>
          </w:p>
        </w:tc>
        <w:tc>
          <w:tcPr>
            <w:tcW w:w="1022" w:type="dxa"/>
            <w:shd w:val="clear" w:color="auto" w:fill="FFFFFF"/>
            <w:vAlign w:val="center"/>
          </w:tcPr>
          <w:p w14:paraId="5FE3FC05" w14:textId="77777777" w:rsidR="0056038A" w:rsidRPr="000D5C8C" w:rsidRDefault="0056038A" w:rsidP="003B1EAA">
            <w:pPr>
              <w:ind w:firstLine="284"/>
              <w:jc w:val="right"/>
              <w:rPr>
                <w:color w:val="000000"/>
                <w:szCs w:val="20"/>
              </w:rPr>
            </w:pPr>
            <w:r w:rsidRPr="000D5C8C">
              <w:rPr>
                <w:color w:val="000000"/>
                <w:szCs w:val="20"/>
              </w:rPr>
              <w:t>8</w:t>
            </w:r>
          </w:p>
        </w:tc>
      </w:tr>
      <w:tr w:rsidR="0056038A" w:rsidRPr="000D5C8C" w14:paraId="4E415D0D" w14:textId="77777777" w:rsidTr="00A43024">
        <w:trPr>
          <w:cantSplit/>
          <w:jc w:val="center"/>
        </w:trPr>
        <w:tc>
          <w:tcPr>
            <w:tcW w:w="2480" w:type="dxa"/>
            <w:vMerge/>
            <w:tcBorders>
              <w:bottom w:val="single" w:sz="2" w:space="0" w:color="auto"/>
            </w:tcBorders>
            <w:shd w:val="clear" w:color="auto" w:fill="FFFFFF"/>
            <w:vAlign w:val="center"/>
          </w:tcPr>
          <w:p w14:paraId="16B0837A" w14:textId="77777777" w:rsidR="0056038A" w:rsidRPr="000D5C8C" w:rsidRDefault="0056038A" w:rsidP="003B1EAA">
            <w:pPr>
              <w:ind w:firstLine="284"/>
              <w:jc w:val="both"/>
              <w:rPr>
                <w:color w:val="000000"/>
                <w:szCs w:val="20"/>
              </w:rPr>
            </w:pPr>
          </w:p>
        </w:tc>
        <w:tc>
          <w:tcPr>
            <w:tcW w:w="2341" w:type="dxa"/>
            <w:tcBorders>
              <w:bottom w:val="single" w:sz="2" w:space="0" w:color="auto"/>
            </w:tcBorders>
            <w:shd w:val="clear" w:color="auto" w:fill="FFFFFF"/>
            <w:vAlign w:val="center"/>
          </w:tcPr>
          <w:p w14:paraId="0CB09C64" w14:textId="77777777" w:rsidR="0056038A" w:rsidRPr="000D5C8C" w:rsidRDefault="0056038A" w:rsidP="003B1EAA">
            <w:pPr>
              <w:ind w:firstLine="284"/>
              <w:jc w:val="both"/>
              <w:rPr>
                <w:color w:val="000000"/>
                <w:szCs w:val="20"/>
              </w:rPr>
            </w:pPr>
            <w:r w:rsidRPr="000D5C8C">
              <w:rPr>
                <w:color w:val="000000"/>
                <w:szCs w:val="20"/>
              </w:rPr>
              <w:t>Sig.</w:t>
            </w:r>
          </w:p>
        </w:tc>
        <w:tc>
          <w:tcPr>
            <w:tcW w:w="1022" w:type="dxa"/>
            <w:tcBorders>
              <w:bottom w:val="single" w:sz="2" w:space="0" w:color="auto"/>
            </w:tcBorders>
            <w:shd w:val="clear" w:color="auto" w:fill="FFFFFF"/>
            <w:vAlign w:val="center"/>
          </w:tcPr>
          <w:p w14:paraId="6E6C5D3A" w14:textId="77777777" w:rsidR="0056038A" w:rsidRPr="000D5C8C" w:rsidRDefault="0056038A" w:rsidP="003B1EAA">
            <w:pPr>
              <w:ind w:firstLine="284"/>
              <w:jc w:val="right"/>
              <w:rPr>
                <w:color w:val="000000"/>
                <w:szCs w:val="20"/>
              </w:rPr>
            </w:pPr>
            <w:r w:rsidRPr="000D5C8C">
              <w:rPr>
                <w:color w:val="000000"/>
                <w:szCs w:val="20"/>
              </w:rPr>
              <w:t>.000</w:t>
            </w:r>
          </w:p>
        </w:tc>
      </w:tr>
    </w:tbl>
    <w:p w14:paraId="3C9B939D" w14:textId="77777777" w:rsidR="0056038A" w:rsidRPr="0084614A" w:rsidRDefault="0056038A" w:rsidP="00361702">
      <w:pPr>
        <w:ind w:firstLine="357"/>
        <w:jc w:val="both"/>
        <w:rPr>
          <w:szCs w:val="22"/>
        </w:rPr>
      </w:pPr>
      <w:r w:rsidRPr="0084614A">
        <w:rPr>
          <w:szCs w:val="22"/>
        </w:rPr>
        <w:t>The above results show that the scale for each component competence is quite high.</w:t>
      </w:r>
    </w:p>
    <w:p w14:paraId="377ACA59" w14:textId="77777777" w:rsidR="0056038A" w:rsidRPr="00066E11" w:rsidRDefault="0056038A" w:rsidP="00361702">
      <w:pPr>
        <w:ind w:firstLine="357"/>
        <w:jc w:val="both"/>
        <w:rPr>
          <w:i/>
          <w:szCs w:val="22"/>
        </w:rPr>
      </w:pPr>
      <w:r w:rsidRPr="00066E11">
        <w:rPr>
          <w:i/>
          <w:szCs w:val="22"/>
        </w:rPr>
        <w:t>- Analysis of the Pearson correlation coefficient between the observed variables in the components</w:t>
      </w:r>
    </w:p>
    <w:p w14:paraId="7CB189C7" w14:textId="77777777" w:rsidR="0056038A" w:rsidRPr="0084614A" w:rsidRDefault="0056038A" w:rsidP="00361702">
      <w:pPr>
        <w:ind w:firstLine="357"/>
        <w:jc w:val="both"/>
        <w:rPr>
          <w:szCs w:val="22"/>
        </w:rPr>
      </w:pPr>
      <w:r w:rsidRPr="0084614A">
        <w:rPr>
          <w:szCs w:val="22"/>
        </w:rPr>
        <w:t>When analyzing the Pearson correlation coefficient between the observed variables in each factor, we have a relatively high correlation coefficient.</w:t>
      </w:r>
    </w:p>
    <w:p w14:paraId="41FF8224" w14:textId="77777777" w:rsidR="00690CEB" w:rsidRDefault="0056038A" w:rsidP="00361702">
      <w:pPr>
        <w:ind w:firstLine="357"/>
        <w:jc w:val="both"/>
        <w:rPr>
          <w:szCs w:val="22"/>
        </w:rPr>
      </w:pPr>
      <w:r w:rsidRPr="0084614A">
        <w:rPr>
          <w:szCs w:val="22"/>
        </w:rPr>
        <w:t xml:space="preserve">With the results of the scale analysis above and </w:t>
      </w:r>
      <w:proofErr w:type="gramStart"/>
      <w:r w:rsidRPr="0084614A">
        <w:rPr>
          <w:szCs w:val="22"/>
        </w:rPr>
        <w:t>experts</w:t>
      </w:r>
      <w:proofErr w:type="gramEnd"/>
      <w:r w:rsidRPr="0084614A">
        <w:rPr>
          <w:szCs w:val="22"/>
        </w:rPr>
        <w:t xml:space="preserve"> opinions, it is possible to confirm that the IT competence framework in Table 1 are feasible and right with the reality</w:t>
      </w:r>
      <w:r>
        <w:rPr>
          <w:szCs w:val="22"/>
        </w:rPr>
        <w:t>.</w:t>
      </w:r>
    </w:p>
    <w:p w14:paraId="023079D2" w14:textId="77777777" w:rsidR="0056038A" w:rsidRPr="0084614A" w:rsidRDefault="0056038A" w:rsidP="00361702">
      <w:pPr>
        <w:widowControl w:val="0"/>
        <w:spacing w:before="240" w:after="60"/>
        <w:jc w:val="both"/>
        <w:rPr>
          <w:b/>
          <w:szCs w:val="22"/>
        </w:rPr>
      </w:pPr>
      <w:r>
        <w:rPr>
          <w:b/>
          <w:szCs w:val="22"/>
        </w:rPr>
        <w:t>4.4.</w:t>
      </w:r>
      <w:r>
        <w:rPr>
          <w:b/>
          <w:szCs w:val="22"/>
        </w:rPr>
        <w:tab/>
      </w:r>
      <w:r w:rsidRPr="0084614A">
        <w:rPr>
          <w:b/>
          <w:szCs w:val="22"/>
        </w:rPr>
        <w:t>Assessment experimental results applied IT competence framework</w:t>
      </w:r>
    </w:p>
    <w:p w14:paraId="18BE1F7E" w14:textId="77777777" w:rsidR="0056038A" w:rsidRPr="0084614A" w:rsidRDefault="0056038A" w:rsidP="00361702">
      <w:pPr>
        <w:widowControl w:val="0"/>
        <w:ind w:firstLine="357"/>
        <w:jc w:val="both"/>
        <w:rPr>
          <w:szCs w:val="22"/>
        </w:rPr>
      </w:pPr>
      <w:r w:rsidRPr="0084614A">
        <w:rPr>
          <w:szCs w:val="22"/>
        </w:rPr>
        <w:t>Conduct empirical evaluation through the organization of teaching on two object classes including: experimental classes that apply to teach the approach of developing IT and control classes with traditional teaching methods.</w:t>
      </w:r>
    </w:p>
    <w:p w14:paraId="50CAF313" w14:textId="77777777" w:rsidR="0056038A" w:rsidRPr="0084614A" w:rsidRDefault="0056038A" w:rsidP="00361702">
      <w:pPr>
        <w:ind w:firstLine="357"/>
        <w:jc w:val="both"/>
        <w:rPr>
          <w:szCs w:val="22"/>
        </w:rPr>
      </w:pPr>
      <w:r w:rsidRPr="0084614A">
        <w:rPr>
          <w:szCs w:val="22"/>
        </w:rPr>
        <w:lastRenderedPageBreak/>
        <w:t>“Experimental Class” denoted as EC, and “Control Class” denoted as CC.</w:t>
      </w:r>
    </w:p>
    <w:p w14:paraId="14DC09A1" w14:textId="77777777" w:rsidR="005F2E06" w:rsidRDefault="0056038A" w:rsidP="00361702">
      <w:pPr>
        <w:ind w:firstLine="357"/>
        <w:jc w:val="both"/>
        <w:rPr>
          <w:szCs w:val="22"/>
        </w:rPr>
      </w:pPr>
      <w:r w:rsidRPr="0084614A">
        <w:rPr>
          <w:szCs w:val="22"/>
        </w:rPr>
        <w:t>Through statistics, results of F</w:t>
      </w:r>
      <w:r w:rsidRPr="007669D0">
        <w:rPr>
          <w:szCs w:val="22"/>
          <w:vertAlign w:val="subscript"/>
        </w:rPr>
        <w:t>i</w:t>
      </w:r>
      <w:r w:rsidRPr="0084614A">
        <w:rPr>
          <w:szCs w:val="22"/>
        </w:rPr>
        <w:t xml:space="preserve"> distribution table (number of students achieving Xi score), f</w:t>
      </w:r>
      <w:r w:rsidRPr="007669D0">
        <w:rPr>
          <w:szCs w:val="22"/>
          <w:vertAlign w:val="subscript"/>
        </w:rPr>
        <w:t>i</w:t>
      </w:r>
      <w:r w:rsidRPr="0084614A">
        <w:rPr>
          <w:szCs w:val="22"/>
        </w:rPr>
        <w:t>(%) frequency table, and fa</w:t>
      </w:r>
      <w:r w:rsidRPr="0084614A">
        <w:rPr>
          <w:szCs w:val="22"/>
        </w:rPr>
        <w:sym w:font="Symbol" w:char="F0AF"/>
      </w:r>
      <w:r w:rsidRPr="0084614A">
        <w:rPr>
          <w:szCs w:val="22"/>
        </w:rPr>
        <w:t xml:space="preserve"> frequency of backward convergence learning results, as follows</w:t>
      </w:r>
      <w:r>
        <w:rPr>
          <w:szCs w:val="22"/>
        </w:rPr>
        <w:t>:</w:t>
      </w:r>
    </w:p>
    <w:p w14:paraId="586A2447" w14:textId="77777777" w:rsidR="0056038A" w:rsidRPr="002C0E1B" w:rsidRDefault="0056038A" w:rsidP="00F06C90">
      <w:pPr>
        <w:widowControl w:val="0"/>
        <w:spacing w:before="240" w:after="80" w:line="200" w:lineRule="exact"/>
        <w:jc w:val="center"/>
        <w:rPr>
          <w:b/>
        </w:rPr>
      </w:pPr>
      <w:r w:rsidRPr="002C0E1B">
        <w:rPr>
          <w:b/>
        </w:rPr>
        <w:t>Table 5 - Table F</w:t>
      </w:r>
      <w:r w:rsidRPr="00AC502C">
        <w:rPr>
          <w:b/>
          <w:vertAlign w:val="subscript"/>
        </w:rPr>
        <w:t>i</w:t>
      </w:r>
      <w:r w:rsidRPr="002C0E1B">
        <w:rPr>
          <w:b/>
        </w:rPr>
        <w:t xml:space="preserve"> scores and f</w:t>
      </w:r>
      <w:r w:rsidRPr="007216EC">
        <w:rPr>
          <w:b/>
          <w:vertAlign w:val="subscript"/>
        </w:rPr>
        <w:t>i</w:t>
      </w:r>
      <w:r w:rsidRPr="002C0E1B">
        <w:rPr>
          <w:b/>
        </w:rPr>
        <w:t xml:space="preserve"> (%) frequency for assessment learning results</w:t>
      </w:r>
    </w:p>
    <w:tbl>
      <w:tblPr>
        <w:tblW w:w="9482" w:type="dxa"/>
        <w:jc w:val="center"/>
        <w:tblBorders>
          <w:top w:val="single" w:sz="4" w:space="0" w:color="auto"/>
          <w:bottom w:val="single" w:sz="4" w:space="0" w:color="auto"/>
        </w:tblBorders>
        <w:tblLayout w:type="fixed"/>
        <w:tblLook w:val="04A0" w:firstRow="1" w:lastRow="0" w:firstColumn="1" w:lastColumn="0" w:noHBand="0" w:noVBand="1"/>
      </w:tblPr>
      <w:tblGrid>
        <w:gridCol w:w="709"/>
        <w:gridCol w:w="976"/>
        <w:gridCol w:w="993"/>
        <w:gridCol w:w="992"/>
        <w:gridCol w:w="992"/>
        <w:gridCol w:w="992"/>
        <w:gridCol w:w="993"/>
        <w:gridCol w:w="992"/>
        <w:gridCol w:w="992"/>
        <w:gridCol w:w="851"/>
      </w:tblGrid>
      <w:tr w:rsidR="0056038A" w:rsidRPr="00F06C90" w14:paraId="2A3D1A12" w14:textId="77777777" w:rsidTr="00A231D2">
        <w:trPr>
          <w:jc w:val="center"/>
        </w:trPr>
        <w:tc>
          <w:tcPr>
            <w:tcW w:w="709" w:type="dxa"/>
            <w:vMerge w:val="restart"/>
            <w:tcBorders>
              <w:top w:val="single" w:sz="4" w:space="0" w:color="auto"/>
              <w:bottom w:val="single" w:sz="4" w:space="0" w:color="auto"/>
            </w:tcBorders>
            <w:vAlign w:val="center"/>
          </w:tcPr>
          <w:p w14:paraId="7AFE99DF" w14:textId="77777777" w:rsidR="0056038A" w:rsidRPr="00F06C90" w:rsidRDefault="0056038A" w:rsidP="000F0BA4">
            <w:pPr>
              <w:jc w:val="center"/>
              <w:rPr>
                <w:b/>
                <w:color w:val="000000"/>
                <w:szCs w:val="20"/>
              </w:rPr>
            </w:pPr>
            <w:r w:rsidRPr="00F06C90">
              <w:rPr>
                <w:b/>
                <w:color w:val="000000"/>
                <w:szCs w:val="20"/>
              </w:rPr>
              <w:t>Class</w:t>
            </w:r>
          </w:p>
        </w:tc>
        <w:tc>
          <w:tcPr>
            <w:tcW w:w="976" w:type="dxa"/>
            <w:vMerge w:val="restart"/>
            <w:tcBorders>
              <w:top w:val="single" w:sz="4" w:space="0" w:color="auto"/>
              <w:bottom w:val="single" w:sz="4" w:space="0" w:color="auto"/>
            </w:tcBorders>
            <w:vAlign w:val="center"/>
          </w:tcPr>
          <w:p w14:paraId="1461F74D" w14:textId="77777777" w:rsidR="0056038A" w:rsidRPr="00F06C90" w:rsidRDefault="0056038A" w:rsidP="000F0BA4">
            <w:pPr>
              <w:jc w:val="center"/>
              <w:rPr>
                <w:b/>
                <w:color w:val="000000"/>
                <w:szCs w:val="20"/>
              </w:rPr>
            </w:pPr>
            <w:r w:rsidRPr="00F06C90">
              <w:rPr>
                <w:b/>
                <w:color w:val="000000"/>
                <w:szCs w:val="20"/>
              </w:rPr>
              <w:t>Total students</w:t>
            </w:r>
          </w:p>
        </w:tc>
        <w:tc>
          <w:tcPr>
            <w:tcW w:w="7797" w:type="dxa"/>
            <w:gridSpan w:val="8"/>
            <w:tcBorders>
              <w:top w:val="single" w:sz="4" w:space="0" w:color="auto"/>
              <w:bottom w:val="single" w:sz="4" w:space="0" w:color="auto"/>
            </w:tcBorders>
            <w:vAlign w:val="center"/>
          </w:tcPr>
          <w:p w14:paraId="0D58FF0C" w14:textId="77777777" w:rsidR="0056038A" w:rsidRPr="00F06C90" w:rsidRDefault="0056038A" w:rsidP="000F0BA4">
            <w:pPr>
              <w:jc w:val="center"/>
              <w:rPr>
                <w:b/>
                <w:szCs w:val="20"/>
              </w:rPr>
            </w:pPr>
            <w:r w:rsidRPr="00F06C90">
              <w:rPr>
                <w:b/>
                <w:color w:val="000000"/>
                <w:szCs w:val="20"/>
              </w:rPr>
              <w:t>Number of exams with X</w:t>
            </w:r>
            <w:r w:rsidRPr="00F06C90">
              <w:rPr>
                <w:b/>
                <w:color w:val="000000"/>
                <w:szCs w:val="20"/>
                <w:vertAlign w:val="subscript"/>
              </w:rPr>
              <w:t>i</w:t>
            </w:r>
            <w:r w:rsidRPr="00F06C90">
              <w:rPr>
                <w:b/>
                <w:color w:val="000000"/>
                <w:szCs w:val="20"/>
              </w:rPr>
              <w:t xml:space="preserve"> score</w:t>
            </w:r>
          </w:p>
        </w:tc>
      </w:tr>
      <w:tr w:rsidR="0056038A" w:rsidRPr="00F06C90" w14:paraId="710571F3" w14:textId="77777777" w:rsidTr="00FF1267">
        <w:trPr>
          <w:trHeight w:val="341"/>
          <w:jc w:val="center"/>
        </w:trPr>
        <w:tc>
          <w:tcPr>
            <w:tcW w:w="709" w:type="dxa"/>
            <w:vMerge/>
            <w:tcBorders>
              <w:top w:val="single" w:sz="4" w:space="0" w:color="auto"/>
              <w:bottom w:val="single" w:sz="4" w:space="0" w:color="auto"/>
            </w:tcBorders>
          </w:tcPr>
          <w:p w14:paraId="051DEC8D" w14:textId="77777777" w:rsidR="0056038A" w:rsidRPr="00F06C90" w:rsidRDefault="0056038A" w:rsidP="000F0BA4">
            <w:pPr>
              <w:jc w:val="center"/>
              <w:rPr>
                <w:szCs w:val="20"/>
              </w:rPr>
            </w:pPr>
          </w:p>
        </w:tc>
        <w:tc>
          <w:tcPr>
            <w:tcW w:w="976" w:type="dxa"/>
            <w:vMerge/>
            <w:tcBorders>
              <w:top w:val="single" w:sz="4" w:space="0" w:color="auto"/>
              <w:bottom w:val="single" w:sz="4" w:space="0" w:color="auto"/>
            </w:tcBorders>
          </w:tcPr>
          <w:p w14:paraId="68087FB0" w14:textId="77777777" w:rsidR="0056038A" w:rsidRPr="00F06C90" w:rsidRDefault="0056038A" w:rsidP="000F0BA4">
            <w:pPr>
              <w:jc w:val="center"/>
              <w:rPr>
                <w:szCs w:val="20"/>
              </w:rPr>
            </w:pPr>
          </w:p>
        </w:tc>
        <w:tc>
          <w:tcPr>
            <w:tcW w:w="993" w:type="dxa"/>
            <w:tcBorders>
              <w:top w:val="single" w:sz="4" w:space="0" w:color="auto"/>
              <w:bottom w:val="single" w:sz="4" w:space="0" w:color="auto"/>
            </w:tcBorders>
            <w:vAlign w:val="center"/>
          </w:tcPr>
          <w:p w14:paraId="2917720F" w14:textId="77777777" w:rsidR="0056038A" w:rsidRPr="00F06C90" w:rsidRDefault="0056038A" w:rsidP="000F0BA4">
            <w:pPr>
              <w:jc w:val="center"/>
              <w:rPr>
                <w:szCs w:val="20"/>
              </w:rPr>
            </w:pPr>
            <w:r w:rsidRPr="00F06C90">
              <w:rPr>
                <w:szCs w:val="20"/>
              </w:rPr>
              <w:t>A</w:t>
            </w:r>
          </w:p>
          <w:p w14:paraId="037F6B3E" w14:textId="77777777" w:rsidR="0056038A" w:rsidRPr="00F06C90" w:rsidRDefault="0056038A" w:rsidP="000F0BA4">
            <w:pPr>
              <w:jc w:val="center"/>
              <w:rPr>
                <w:szCs w:val="20"/>
              </w:rPr>
            </w:pPr>
            <w:r w:rsidRPr="00F06C90">
              <w:rPr>
                <w:szCs w:val="20"/>
              </w:rPr>
              <w:t>(8,5-10)</w:t>
            </w:r>
          </w:p>
        </w:tc>
        <w:tc>
          <w:tcPr>
            <w:tcW w:w="992" w:type="dxa"/>
            <w:tcBorders>
              <w:top w:val="single" w:sz="4" w:space="0" w:color="auto"/>
              <w:bottom w:val="single" w:sz="4" w:space="0" w:color="auto"/>
            </w:tcBorders>
            <w:vAlign w:val="center"/>
          </w:tcPr>
          <w:p w14:paraId="4A41C911" w14:textId="77777777" w:rsidR="0056038A" w:rsidRPr="00F06C90" w:rsidRDefault="0056038A" w:rsidP="000F0BA4">
            <w:pPr>
              <w:jc w:val="center"/>
              <w:rPr>
                <w:szCs w:val="20"/>
                <w:vertAlign w:val="superscript"/>
              </w:rPr>
            </w:pPr>
            <w:r w:rsidRPr="00F06C90">
              <w:rPr>
                <w:szCs w:val="20"/>
              </w:rPr>
              <w:t>B</w:t>
            </w:r>
            <w:r w:rsidRPr="00F06C90">
              <w:rPr>
                <w:szCs w:val="20"/>
                <w:vertAlign w:val="superscript"/>
              </w:rPr>
              <w:t>+</w:t>
            </w:r>
          </w:p>
          <w:p w14:paraId="58CB7D12" w14:textId="77777777" w:rsidR="0056038A" w:rsidRPr="00F06C90" w:rsidRDefault="0056038A" w:rsidP="000F0BA4">
            <w:pPr>
              <w:jc w:val="center"/>
              <w:rPr>
                <w:szCs w:val="20"/>
                <w:vertAlign w:val="superscript"/>
              </w:rPr>
            </w:pPr>
            <w:r w:rsidRPr="00F06C90">
              <w:rPr>
                <w:szCs w:val="20"/>
              </w:rPr>
              <w:t>(8,0-8,4)</w:t>
            </w:r>
          </w:p>
        </w:tc>
        <w:tc>
          <w:tcPr>
            <w:tcW w:w="992" w:type="dxa"/>
            <w:tcBorders>
              <w:top w:val="single" w:sz="4" w:space="0" w:color="auto"/>
              <w:bottom w:val="single" w:sz="4" w:space="0" w:color="auto"/>
            </w:tcBorders>
            <w:vAlign w:val="center"/>
          </w:tcPr>
          <w:p w14:paraId="118A0AF6" w14:textId="77777777" w:rsidR="0056038A" w:rsidRPr="00F06C90" w:rsidRDefault="0056038A" w:rsidP="000F0BA4">
            <w:pPr>
              <w:jc w:val="center"/>
              <w:rPr>
                <w:szCs w:val="20"/>
              </w:rPr>
            </w:pPr>
            <w:r w:rsidRPr="00F06C90">
              <w:rPr>
                <w:szCs w:val="20"/>
              </w:rPr>
              <w:t>B</w:t>
            </w:r>
          </w:p>
          <w:p w14:paraId="77D336A9" w14:textId="77777777" w:rsidR="0056038A" w:rsidRPr="00F06C90" w:rsidRDefault="0056038A" w:rsidP="000F0BA4">
            <w:pPr>
              <w:jc w:val="center"/>
              <w:rPr>
                <w:szCs w:val="20"/>
              </w:rPr>
            </w:pPr>
            <w:r w:rsidRPr="00F06C90">
              <w:rPr>
                <w:szCs w:val="20"/>
              </w:rPr>
              <w:t>(7,0-7,9)</w:t>
            </w:r>
          </w:p>
        </w:tc>
        <w:tc>
          <w:tcPr>
            <w:tcW w:w="992" w:type="dxa"/>
            <w:tcBorders>
              <w:top w:val="single" w:sz="4" w:space="0" w:color="auto"/>
              <w:bottom w:val="single" w:sz="4" w:space="0" w:color="auto"/>
            </w:tcBorders>
            <w:vAlign w:val="center"/>
          </w:tcPr>
          <w:p w14:paraId="7CE4F38B" w14:textId="77777777" w:rsidR="0056038A" w:rsidRPr="00F06C90" w:rsidRDefault="0056038A" w:rsidP="000F0BA4">
            <w:pPr>
              <w:jc w:val="center"/>
              <w:rPr>
                <w:szCs w:val="20"/>
                <w:vertAlign w:val="superscript"/>
              </w:rPr>
            </w:pPr>
            <w:r w:rsidRPr="00F06C90">
              <w:rPr>
                <w:szCs w:val="20"/>
              </w:rPr>
              <w:t>C</w:t>
            </w:r>
            <w:r w:rsidRPr="00F06C90">
              <w:rPr>
                <w:szCs w:val="20"/>
                <w:vertAlign w:val="superscript"/>
              </w:rPr>
              <w:t>+</w:t>
            </w:r>
          </w:p>
          <w:p w14:paraId="766008F7" w14:textId="77777777" w:rsidR="0056038A" w:rsidRPr="00F06C90" w:rsidRDefault="0056038A" w:rsidP="000F0BA4">
            <w:pPr>
              <w:jc w:val="center"/>
              <w:rPr>
                <w:szCs w:val="20"/>
                <w:vertAlign w:val="superscript"/>
              </w:rPr>
            </w:pPr>
            <w:r w:rsidRPr="00F06C90">
              <w:rPr>
                <w:szCs w:val="20"/>
              </w:rPr>
              <w:t>(6,5-6,9)</w:t>
            </w:r>
          </w:p>
        </w:tc>
        <w:tc>
          <w:tcPr>
            <w:tcW w:w="993" w:type="dxa"/>
            <w:tcBorders>
              <w:top w:val="single" w:sz="4" w:space="0" w:color="auto"/>
              <w:bottom w:val="single" w:sz="4" w:space="0" w:color="auto"/>
            </w:tcBorders>
            <w:vAlign w:val="center"/>
          </w:tcPr>
          <w:p w14:paraId="5D44D41B" w14:textId="77777777" w:rsidR="0056038A" w:rsidRPr="00F06C90" w:rsidRDefault="0056038A" w:rsidP="000F0BA4">
            <w:pPr>
              <w:jc w:val="center"/>
              <w:rPr>
                <w:szCs w:val="20"/>
              </w:rPr>
            </w:pPr>
            <w:r w:rsidRPr="00F06C90">
              <w:rPr>
                <w:szCs w:val="20"/>
              </w:rPr>
              <w:t>C</w:t>
            </w:r>
          </w:p>
          <w:p w14:paraId="3489EAB3" w14:textId="77777777" w:rsidR="0056038A" w:rsidRPr="00F06C90" w:rsidRDefault="0056038A" w:rsidP="000F0BA4">
            <w:pPr>
              <w:jc w:val="center"/>
              <w:rPr>
                <w:szCs w:val="20"/>
              </w:rPr>
            </w:pPr>
            <w:r w:rsidRPr="00F06C90">
              <w:rPr>
                <w:szCs w:val="20"/>
              </w:rPr>
              <w:t>(5,5-6,4)</w:t>
            </w:r>
          </w:p>
        </w:tc>
        <w:tc>
          <w:tcPr>
            <w:tcW w:w="992" w:type="dxa"/>
            <w:tcBorders>
              <w:top w:val="single" w:sz="4" w:space="0" w:color="auto"/>
              <w:bottom w:val="single" w:sz="4" w:space="0" w:color="auto"/>
            </w:tcBorders>
          </w:tcPr>
          <w:p w14:paraId="29FD952B" w14:textId="77777777" w:rsidR="0056038A" w:rsidRPr="00F06C90" w:rsidRDefault="0056038A" w:rsidP="000F0BA4">
            <w:pPr>
              <w:jc w:val="center"/>
              <w:rPr>
                <w:szCs w:val="20"/>
                <w:vertAlign w:val="superscript"/>
              </w:rPr>
            </w:pPr>
            <w:r w:rsidRPr="00F06C90">
              <w:rPr>
                <w:szCs w:val="20"/>
              </w:rPr>
              <w:t>D</w:t>
            </w:r>
            <w:r w:rsidRPr="00F06C90">
              <w:rPr>
                <w:szCs w:val="20"/>
                <w:vertAlign w:val="superscript"/>
              </w:rPr>
              <w:t>+</w:t>
            </w:r>
          </w:p>
          <w:p w14:paraId="005058AF" w14:textId="77777777" w:rsidR="0056038A" w:rsidRPr="00F06C90" w:rsidRDefault="0056038A" w:rsidP="000F0BA4">
            <w:pPr>
              <w:jc w:val="center"/>
              <w:rPr>
                <w:szCs w:val="20"/>
                <w:vertAlign w:val="superscript"/>
              </w:rPr>
            </w:pPr>
            <w:r w:rsidRPr="00F06C90">
              <w:rPr>
                <w:szCs w:val="20"/>
              </w:rPr>
              <w:t>(5,0-5,4)</w:t>
            </w:r>
          </w:p>
        </w:tc>
        <w:tc>
          <w:tcPr>
            <w:tcW w:w="992" w:type="dxa"/>
            <w:tcBorders>
              <w:top w:val="single" w:sz="4" w:space="0" w:color="auto"/>
              <w:bottom w:val="single" w:sz="4" w:space="0" w:color="auto"/>
            </w:tcBorders>
          </w:tcPr>
          <w:p w14:paraId="2566DEAF" w14:textId="77777777" w:rsidR="0056038A" w:rsidRPr="00F06C90" w:rsidRDefault="0056038A" w:rsidP="000F0BA4">
            <w:pPr>
              <w:jc w:val="center"/>
              <w:rPr>
                <w:szCs w:val="20"/>
              </w:rPr>
            </w:pPr>
            <w:r w:rsidRPr="00F06C90">
              <w:rPr>
                <w:szCs w:val="20"/>
              </w:rPr>
              <w:t>D</w:t>
            </w:r>
          </w:p>
          <w:p w14:paraId="7679A063" w14:textId="77777777" w:rsidR="0056038A" w:rsidRPr="00F06C90" w:rsidRDefault="0056038A" w:rsidP="000F0BA4">
            <w:pPr>
              <w:jc w:val="center"/>
              <w:rPr>
                <w:szCs w:val="20"/>
              </w:rPr>
            </w:pPr>
            <w:r w:rsidRPr="00F06C90">
              <w:rPr>
                <w:szCs w:val="20"/>
              </w:rPr>
              <w:t>(4,0-4,9)</w:t>
            </w:r>
          </w:p>
        </w:tc>
        <w:tc>
          <w:tcPr>
            <w:tcW w:w="851" w:type="dxa"/>
            <w:tcBorders>
              <w:top w:val="single" w:sz="4" w:space="0" w:color="auto"/>
              <w:bottom w:val="single" w:sz="4" w:space="0" w:color="auto"/>
            </w:tcBorders>
          </w:tcPr>
          <w:p w14:paraId="330AE2C3" w14:textId="77777777" w:rsidR="0056038A" w:rsidRPr="00F06C90" w:rsidRDefault="0056038A" w:rsidP="000F0BA4">
            <w:pPr>
              <w:jc w:val="center"/>
              <w:rPr>
                <w:szCs w:val="20"/>
              </w:rPr>
            </w:pPr>
            <w:r w:rsidRPr="00F06C90">
              <w:rPr>
                <w:szCs w:val="20"/>
              </w:rPr>
              <w:t>F</w:t>
            </w:r>
          </w:p>
          <w:p w14:paraId="43AA22CA" w14:textId="77777777" w:rsidR="0056038A" w:rsidRPr="00F06C90" w:rsidRDefault="0056038A" w:rsidP="000F0BA4">
            <w:pPr>
              <w:jc w:val="center"/>
              <w:rPr>
                <w:szCs w:val="20"/>
              </w:rPr>
            </w:pPr>
            <w:r w:rsidRPr="00F06C90">
              <w:rPr>
                <w:szCs w:val="20"/>
              </w:rPr>
              <w:t>(&lt; 4,0)</w:t>
            </w:r>
          </w:p>
        </w:tc>
      </w:tr>
      <w:tr w:rsidR="0056038A" w:rsidRPr="00F06C90" w14:paraId="632A602E" w14:textId="77777777" w:rsidTr="00FF1267">
        <w:trPr>
          <w:trHeight w:val="254"/>
          <w:jc w:val="center"/>
        </w:trPr>
        <w:tc>
          <w:tcPr>
            <w:tcW w:w="709" w:type="dxa"/>
            <w:vMerge w:val="restart"/>
            <w:tcBorders>
              <w:top w:val="single" w:sz="4" w:space="0" w:color="auto"/>
              <w:bottom w:val="nil"/>
            </w:tcBorders>
            <w:vAlign w:val="center"/>
            <w:hideMark/>
          </w:tcPr>
          <w:p w14:paraId="78F17DEC" w14:textId="77777777" w:rsidR="0056038A" w:rsidRPr="00F06C90" w:rsidRDefault="0056038A" w:rsidP="000F0BA4">
            <w:pPr>
              <w:jc w:val="center"/>
              <w:rPr>
                <w:szCs w:val="20"/>
              </w:rPr>
            </w:pPr>
            <w:r w:rsidRPr="00F06C90">
              <w:rPr>
                <w:color w:val="000000"/>
                <w:szCs w:val="20"/>
              </w:rPr>
              <w:t>EC</w:t>
            </w:r>
          </w:p>
        </w:tc>
        <w:tc>
          <w:tcPr>
            <w:tcW w:w="976" w:type="dxa"/>
            <w:vMerge w:val="restart"/>
            <w:tcBorders>
              <w:top w:val="single" w:sz="4" w:space="0" w:color="auto"/>
              <w:bottom w:val="nil"/>
            </w:tcBorders>
            <w:vAlign w:val="center"/>
            <w:hideMark/>
          </w:tcPr>
          <w:p w14:paraId="6378B04E" w14:textId="77777777" w:rsidR="0056038A" w:rsidRPr="00F06C90" w:rsidRDefault="0056038A" w:rsidP="000F0BA4">
            <w:pPr>
              <w:jc w:val="center"/>
              <w:rPr>
                <w:szCs w:val="20"/>
              </w:rPr>
            </w:pPr>
            <w:r w:rsidRPr="00F06C90">
              <w:rPr>
                <w:szCs w:val="20"/>
              </w:rPr>
              <w:t>36</w:t>
            </w:r>
          </w:p>
        </w:tc>
        <w:tc>
          <w:tcPr>
            <w:tcW w:w="993" w:type="dxa"/>
            <w:tcBorders>
              <w:top w:val="single" w:sz="4" w:space="0" w:color="auto"/>
              <w:bottom w:val="nil"/>
            </w:tcBorders>
            <w:vAlign w:val="center"/>
          </w:tcPr>
          <w:p w14:paraId="28109DFE" w14:textId="77777777" w:rsidR="0056038A" w:rsidRPr="00F06C90" w:rsidRDefault="0056038A" w:rsidP="000F0BA4">
            <w:pPr>
              <w:jc w:val="center"/>
              <w:rPr>
                <w:szCs w:val="20"/>
              </w:rPr>
            </w:pPr>
            <w:r w:rsidRPr="00F06C90">
              <w:rPr>
                <w:szCs w:val="20"/>
              </w:rPr>
              <w:t>18</w:t>
            </w:r>
          </w:p>
        </w:tc>
        <w:tc>
          <w:tcPr>
            <w:tcW w:w="992" w:type="dxa"/>
            <w:tcBorders>
              <w:top w:val="single" w:sz="4" w:space="0" w:color="auto"/>
              <w:bottom w:val="nil"/>
            </w:tcBorders>
            <w:vAlign w:val="center"/>
          </w:tcPr>
          <w:p w14:paraId="2089E434" w14:textId="77777777" w:rsidR="0056038A" w:rsidRPr="00F06C90" w:rsidRDefault="0056038A" w:rsidP="000F0BA4">
            <w:pPr>
              <w:jc w:val="center"/>
              <w:rPr>
                <w:szCs w:val="20"/>
              </w:rPr>
            </w:pPr>
            <w:r w:rsidRPr="00F06C90">
              <w:rPr>
                <w:szCs w:val="20"/>
              </w:rPr>
              <w:t>14</w:t>
            </w:r>
          </w:p>
        </w:tc>
        <w:tc>
          <w:tcPr>
            <w:tcW w:w="992" w:type="dxa"/>
            <w:tcBorders>
              <w:top w:val="single" w:sz="4" w:space="0" w:color="auto"/>
              <w:bottom w:val="nil"/>
            </w:tcBorders>
            <w:vAlign w:val="center"/>
          </w:tcPr>
          <w:p w14:paraId="65046AF1" w14:textId="77777777" w:rsidR="0056038A" w:rsidRPr="00F06C90" w:rsidRDefault="0056038A" w:rsidP="000F0BA4">
            <w:pPr>
              <w:jc w:val="center"/>
              <w:rPr>
                <w:szCs w:val="20"/>
              </w:rPr>
            </w:pPr>
            <w:r w:rsidRPr="00F06C90">
              <w:rPr>
                <w:szCs w:val="20"/>
              </w:rPr>
              <w:t>1</w:t>
            </w:r>
          </w:p>
        </w:tc>
        <w:tc>
          <w:tcPr>
            <w:tcW w:w="992" w:type="dxa"/>
            <w:tcBorders>
              <w:top w:val="single" w:sz="4" w:space="0" w:color="auto"/>
              <w:bottom w:val="nil"/>
            </w:tcBorders>
            <w:vAlign w:val="center"/>
          </w:tcPr>
          <w:p w14:paraId="75878766" w14:textId="77777777" w:rsidR="0056038A" w:rsidRPr="00F06C90" w:rsidRDefault="0056038A" w:rsidP="000F0BA4">
            <w:pPr>
              <w:jc w:val="center"/>
              <w:rPr>
                <w:szCs w:val="20"/>
              </w:rPr>
            </w:pPr>
            <w:r w:rsidRPr="00F06C90">
              <w:rPr>
                <w:szCs w:val="20"/>
              </w:rPr>
              <w:t>1</w:t>
            </w:r>
          </w:p>
        </w:tc>
        <w:tc>
          <w:tcPr>
            <w:tcW w:w="993" w:type="dxa"/>
            <w:tcBorders>
              <w:top w:val="single" w:sz="4" w:space="0" w:color="auto"/>
              <w:bottom w:val="nil"/>
            </w:tcBorders>
            <w:vAlign w:val="center"/>
          </w:tcPr>
          <w:p w14:paraId="6B624AD0" w14:textId="77777777" w:rsidR="0056038A" w:rsidRPr="00F06C90" w:rsidRDefault="0056038A" w:rsidP="000F0BA4">
            <w:pPr>
              <w:jc w:val="center"/>
              <w:rPr>
                <w:szCs w:val="20"/>
              </w:rPr>
            </w:pPr>
            <w:r w:rsidRPr="00F06C90">
              <w:rPr>
                <w:szCs w:val="20"/>
              </w:rPr>
              <w:t>2</w:t>
            </w:r>
          </w:p>
        </w:tc>
        <w:tc>
          <w:tcPr>
            <w:tcW w:w="992" w:type="dxa"/>
            <w:tcBorders>
              <w:top w:val="single" w:sz="4" w:space="0" w:color="auto"/>
              <w:bottom w:val="nil"/>
            </w:tcBorders>
          </w:tcPr>
          <w:p w14:paraId="34DD0A05" w14:textId="77777777" w:rsidR="0056038A" w:rsidRPr="00F06C90" w:rsidRDefault="0056038A" w:rsidP="000F0BA4">
            <w:pPr>
              <w:jc w:val="center"/>
              <w:rPr>
                <w:szCs w:val="20"/>
              </w:rPr>
            </w:pPr>
            <w:r w:rsidRPr="00F06C90">
              <w:rPr>
                <w:szCs w:val="20"/>
              </w:rPr>
              <w:t>0</w:t>
            </w:r>
          </w:p>
        </w:tc>
        <w:tc>
          <w:tcPr>
            <w:tcW w:w="992" w:type="dxa"/>
            <w:tcBorders>
              <w:top w:val="single" w:sz="4" w:space="0" w:color="auto"/>
              <w:bottom w:val="nil"/>
            </w:tcBorders>
          </w:tcPr>
          <w:p w14:paraId="1ED6306B" w14:textId="77777777" w:rsidR="0056038A" w:rsidRPr="00F06C90" w:rsidRDefault="0056038A" w:rsidP="000F0BA4">
            <w:pPr>
              <w:jc w:val="center"/>
              <w:rPr>
                <w:szCs w:val="20"/>
              </w:rPr>
            </w:pPr>
            <w:r w:rsidRPr="00F06C90">
              <w:rPr>
                <w:szCs w:val="20"/>
              </w:rPr>
              <w:t>0</w:t>
            </w:r>
          </w:p>
        </w:tc>
        <w:tc>
          <w:tcPr>
            <w:tcW w:w="851" w:type="dxa"/>
            <w:tcBorders>
              <w:top w:val="single" w:sz="4" w:space="0" w:color="auto"/>
              <w:bottom w:val="nil"/>
            </w:tcBorders>
          </w:tcPr>
          <w:p w14:paraId="1A0C411B" w14:textId="77777777" w:rsidR="0056038A" w:rsidRPr="00F06C90" w:rsidRDefault="0056038A" w:rsidP="000F0BA4">
            <w:pPr>
              <w:jc w:val="center"/>
              <w:rPr>
                <w:szCs w:val="20"/>
              </w:rPr>
            </w:pPr>
            <w:r w:rsidRPr="00F06C90">
              <w:rPr>
                <w:szCs w:val="20"/>
              </w:rPr>
              <w:t>0</w:t>
            </w:r>
          </w:p>
        </w:tc>
      </w:tr>
      <w:tr w:rsidR="0056038A" w:rsidRPr="00F06C90" w14:paraId="5235B22E" w14:textId="77777777" w:rsidTr="00FF1267">
        <w:trPr>
          <w:trHeight w:val="254"/>
          <w:jc w:val="center"/>
        </w:trPr>
        <w:tc>
          <w:tcPr>
            <w:tcW w:w="709" w:type="dxa"/>
            <w:vMerge/>
            <w:tcBorders>
              <w:top w:val="nil"/>
            </w:tcBorders>
            <w:vAlign w:val="center"/>
          </w:tcPr>
          <w:p w14:paraId="6BB8A777" w14:textId="77777777" w:rsidR="0056038A" w:rsidRPr="00F06C90" w:rsidRDefault="0056038A" w:rsidP="000F0BA4">
            <w:pPr>
              <w:jc w:val="center"/>
              <w:rPr>
                <w:color w:val="000000"/>
                <w:szCs w:val="20"/>
              </w:rPr>
            </w:pPr>
          </w:p>
        </w:tc>
        <w:tc>
          <w:tcPr>
            <w:tcW w:w="976" w:type="dxa"/>
            <w:vMerge/>
            <w:tcBorders>
              <w:top w:val="nil"/>
            </w:tcBorders>
            <w:vAlign w:val="center"/>
          </w:tcPr>
          <w:p w14:paraId="25FD6982" w14:textId="77777777" w:rsidR="0056038A" w:rsidRPr="00F06C90" w:rsidRDefault="0056038A" w:rsidP="000F0BA4">
            <w:pPr>
              <w:jc w:val="center"/>
              <w:rPr>
                <w:szCs w:val="20"/>
              </w:rPr>
            </w:pPr>
          </w:p>
        </w:tc>
        <w:tc>
          <w:tcPr>
            <w:tcW w:w="993" w:type="dxa"/>
            <w:tcBorders>
              <w:top w:val="nil"/>
            </w:tcBorders>
            <w:vAlign w:val="center"/>
          </w:tcPr>
          <w:p w14:paraId="05C55BA6" w14:textId="77777777" w:rsidR="0056038A" w:rsidRPr="00F06C90" w:rsidRDefault="0056038A" w:rsidP="000F0BA4">
            <w:pPr>
              <w:jc w:val="center"/>
              <w:rPr>
                <w:szCs w:val="20"/>
              </w:rPr>
            </w:pPr>
            <w:r w:rsidRPr="00F06C90">
              <w:rPr>
                <w:szCs w:val="20"/>
              </w:rPr>
              <w:t>50,00</w:t>
            </w:r>
          </w:p>
        </w:tc>
        <w:tc>
          <w:tcPr>
            <w:tcW w:w="992" w:type="dxa"/>
            <w:tcBorders>
              <w:top w:val="nil"/>
            </w:tcBorders>
            <w:vAlign w:val="center"/>
          </w:tcPr>
          <w:p w14:paraId="7F59A45A" w14:textId="77777777" w:rsidR="0056038A" w:rsidRPr="00F06C90" w:rsidRDefault="0056038A" w:rsidP="000F0BA4">
            <w:pPr>
              <w:jc w:val="center"/>
              <w:rPr>
                <w:szCs w:val="20"/>
              </w:rPr>
            </w:pPr>
            <w:r w:rsidRPr="00F06C90">
              <w:rPr>
                <w:szCs w:val="20"/>
              </w:rPr>
              <w:t>38,89</w:t>
            </w:r>
          </w:p>
        </w:tc>
        <w:tc>
          <w:tcPr>
            <w:tcW w:w="992" w:type="dxa"/>
            <w:tcBorders>
              <w:top w:val="nil"/>
            </w:tcBorders>
            <w:vAlign w:val="center"/>
          </w:tcPr>
          <w:p w14:paraId="2D03019D" w14:textId="77777777" w:rsidR="0056038A" w:rsidRPr="00F06C90" w:rsidRDefault="0056038A" w:rsidP="000F0BA4">
            <w:pPr>
              <w:jc w:val="center"/>
              <w:rPr>
                <w:szCs w:val="20"/>
              </w:rPr>
            </w:pPr>
            <w:r w:rsidRPr="00F06C90">
              <w:rPr>
                <w:szCs w:val="20"/>
              </w:rPr>
              <w:t>2,78</w:t>
            </w:r>
          </w:p>
        </w:tc>
        <w:tc>
          <w:tcPr>
            <w:tcW w:w="992" w:type="dxa"/>
            <w:tcBorders>
              <w:top w:val="nil"/>
            </w:tcBorders>
            <w:vAlign w:val="center"/>
          </w:tcPr>
          <w:p w14:paraId="6761B3AF" w14:textId="77777777" w:rsidR="0056038A" w:rsidRPr="00F06C90" w:rsidRDefault="0056038A" w:rsidP="000F0BA4">
            <w:pPr>
              <w:jc w:val="center"/>
              <w:rPr>
                <w:szCs w:val="20"/>
              </w:rPr>
            </w:pPr>
            <w:r w:rsidRPr="00F06C90">
              <w:rPr>
                <w:szCs w:val="20"/>
              </w:rPr>
              <w:t>2,78</w:t>
            </w:r>
          </w:p>
        </w:tc>
        <w:tc>
          <w:tcPr>
            <w:tcW w:w="993" w:type="dxa"/>
            <w:tcBorders>
              <w:top w:val="nil"/>
            </w:tcBorders>
            <w:vAlign w:val="center"/>
          </w:tcPr>
          <w:p w14:paraId="2A371DA3" w14:textId="77777777" w:rsidR="0056038A" w:rsidRPr="00F06C90" w:rsidRDefault="0056038A" w:rsidP="000F0BA4">
            <w:pPr>
              <w:jc w:val="center"/>
              <w:rPr>
                <w:szCs w:val="20"/>
              </w:rPr>
            </w:pPr>
            <w:r w:rsidRPr="00F06C90">
              <w:rPr>
                <w:szCs w:val="20"/>
              </w:rPr>
              <w:t>5,56</w:t>
            </w:r>
          </w:p>
        </w:tc>
        <w:tc>
          <w:tcPr>
            <w:tcW w:w="992" w:type="dxa"/>
            <w:tcBorders>
              <w:top w:val="nil"/>
            </w:tcBorders>
            <w:vAlign w:val="center"/>
          </w:tcPr>
          <w:p w14:paraId="1F78C09F" w14:textId="77777777" w:rsidR="0056038A" w:rsidRPr="00F06C90" w:rsidRDefault="0056038A" w:rsidP="000F0BA4">
            <w:pPr>
              <w:jc w:val="center"/>
              <w:rPr>
                <w:szCs w:val="20"/>
              </w:rPr>
            </w:pPr>
            <w:r w:rsidRPr="00F06C90">
              <w:rPr>
                <w:szCs w:val="20"/>
              </w:rPr>
              <w:t>0,00</w:t>
            </w:r>
          </w:p>
        </w:tc>
        <w:tc>
          <w:tcPr>
            <w:tcW w:w="992" w:type="dxa"/>
            <w:tcBorders>
              <w:top w:val="nil"/>
            </w:tcBorders>
            <w:vAlign w:val="center"/>
          </w:tcPr>
          <w:p w14:paraId="76825565" w14:textId="77777777" w:rsidR="0056038A" w:rsidRPr="00F06C90" w:rsidRDefault="0056038A" w:rsidP="000F0BA4">
            <w:pPr>
              <w:jc w:val="center"/>
              <w:rPr>
                <w:szCs w:val="20"/>
              </w:rPr>
            </w:pPr>
            <w:r w:rsidRPr="00F06C90">
              <w:rPr>
                <w:szCs w:val="20"/>
              </w:rPr>
              <w:t>0,00</w:t>
            </w:r>
          </w:p>
        </w:tc>
        <w:tc>
          <w:tcPr>
            <w:tcW w:w="851" w:type="dxa"/>
            <w:tcBorders>
              <w:top w:val="nil"/>
            </w:tcBorders>
            <w:vAlign w:val="center"/>
          </w:tcPr>
          <w:p w14:paraId="01130865" w14:textId="77777777" w:rsidR="0056038A" w:rsidRPr="00F06C90" w:rsidRDefault="0056038A" w:rsidP="000F0BA4">
            <w:pPr>
              <w:jc w:val="center"/>
              <w:rPr>
                <w:szCs w:val="20"/>
              </w:rPr>
            </w:pPr>
            <w:r w:rsidRPr="00F06C90">
              <w:rPr>
                <w:szCs w:val="20"/>
              </w:rPr>
              <w:t>0,00</w:t>
            </w:r>
          </w:p>
        </w:tc>
      </w:tr>
      <w:tr w:rsidR="0056038A" w:rsidRPr="00F06C90" w14:paraId="76484E56" w14:textId="77777777" w:rsidTr="00F06C90">
        <w:trPr>
          <w:jc w:val="center"/>
        </w:trPr>
        <w:tc>
          <w:tcPr>
            <w:tcW w:w="709" w:type="dxa"/>
            <w:vMerge w:val="restart"/>
            <w:vAlign w:val="center"/>
            <w:hideMark/>
          </w:tcPr>
          <w:p w14:paraId="71015DFC" w14:textId="77777777" w:rsidR="0056038A" w:rsidRPr="00F06C90" w:rsidRDefault="0056038A" w:rsidP="000F0BA4">
            <w:pPr>
              <w:jc w:val="center"/>
              <w:rPr>
                <w:szCs w:val="20"/>
              </w:rPr>
            </w:pPr>
            <w:r w:rsidRPr="00F06C90">
              <w:rPr>
                <w:color w:val="000000"/>
                <w:szCs w:val="20"/>
              </w:rPr>
              <w:t>CC</w:t>
            </w:r>
          </w:p>
        </w:tc>
        <w:tc>
          <w:tcPr>
            <w:tcW w:w="976" w:type="dxa"/>
            <w:vMerge w:val="restart"/>
            <w:vAlign w:val="center"/>
          </w:tcPr>
          <w:p w14:paraId="5C7F7898" w14:textId="77777777" w:rsidR="0056038A" w:rsidRPr="00F06C90" w:rsidRDefault="0056038A" w:rsidP="000F0BA4">
            <w:pPr>
              <w:jc w:val="center"/>
              <w:rPr>
                <w:szCs w:val="20"/>
              </w:rPr>
            </w:pPr>
            <w:r w:rsidRPr="00F06C90">
              <w:rPr>
                <w:szCs w:val="20"/>
              </w:rPr>
              <w:t>35</w:t>
            </w:r>
          </w:p>
        </w:tc>
        <w:tc>
          <w:tcPr>
            <w:tcW w:w="993" w:type="dxa"/>
            <w:vAlign w:val="center"/>
          </w:tcPr>
          <w:p w14:paraId="2142365D" w14:textId="77777777" w:rsidR="0056038A" w:rsidRPr="00F06C90" w:rsidRDefault="0056038A" w:rsidP="000F0BA4">
            <w:pPr>
              <w:jc w:val="center"/>
              <w:rPr>
                <w:szCs w:val="20"/>
              </w:rPr>
            </w:pPr>
            <w:r w:rsidRPr="00F06C90">
              <w:rPr>
                <w:szCs w:val="20"/>
              </w:rPr>
              <w:t>10</w:t>
            </w:r>
          </w:p>
        </w:tc>
        <w:tc>
          <w:tcPr>
            <w:tcW w:w="992" w:type="dxa"/>
            <w:vAlign w:val="center"/>
          </w:tcPr>
          <w:p w14:paraId="042C4AC8" w14:textId="77777777" w:rsidR="0056038A" w:rsidRPr="00F06C90" w:rsidRDefault="0056038A" w:rsidP="000F0BA4">
            <w:pPr>
              <w:jc w:val="center"/>
              <w:rPr>
                <w:szCs w:val="20"/>
              </w:rPr>
            </w:pPr>
            <w:r w:rsidRPr="00F06C90">
              <w:rPr>
                <w:szCs w:val="20"/>
              </w:rPr>
              <w:t>6</w:t>
            </w:r>
          </w:p>
        </w:tc>
        <w:tc>
          <w:tcPr>
            <w:tcW w:w="992" w:type="dxa"/>
            <w:vAlign w:val="center"/>
          </w:tcPr>
          <w:p w14:paraId="323D8897" w14:textId="77777777" w:rsidR="0056038A" w:rsidRPr="00F06C90" w:rsidRDefault="0056038A" w:rsidP="000F0BA4">
            <w:pPr>
              <w:jc w:val="center"/>
              <w:rPr>
                <w:szCs w:val="20"/>
              </w:rPr>
            </w:pPr>
            <w:r w:rsidRPr="00F06C90">
              <w:rPr>
                <w:szCs w:val="20"/>
              </w:rPr>
              <w:t>6</w:t>
            </w:r>
          </w:p>
        </w:tc>
        <w:tc>
          <w:tcPr>
            <w:tcW w:w="992" w:type="dxa"/>
            <w:vAlign w:val="center"/>
          </w:tcPr>
          <w:p w14:paraId="7DADC997" w14:textId="77777777" w:rsidR="0056038A" w:rsidRPr="00F06C90" w:rsidRDefault="0056038A" w:rsidP="000F0BA4">
            <w:pPr>
              <w:jc w:val="center"/>
              <w:rPr>
                <w:szCs w:val="20"/>
              </w:rPr>
            </w:pPr>
            <w:r w:rsidRPr="00F06C90">
              <w:rPr>
                <w:szCs w:val="20"/>
              </w:rPr>
              <w:t>9</w:t>
            </w:r>
          </w:p>
        </w:tc>
        <w:tc>
          <w:tcPr>
            <w:tcW w:w="993" w:type="dxa"/>
            <w:vAlign w:val="center"/>
          </w:tcPr>
          <w:p w14:paraId="0F1BA3AA" w14:textId="77777777" w:rsidR="0056038A" w:rsidRPr="00F06C90" w:rsidRDefault="0056038A" w:rsidP="000F0BA4">
            <w:pPr>
              <w:jc w:val="center"/>
              <w:rPr>
                <w:szCs w:val="20"/>
              </w:rPr>
            </w:pPr>
            <w:r w:rsidRPr="00F06C90">
              <w:rPr>
                <w:szCs w:val="20"/>
              </w:rPr>
              <w:t>3</w:t>
            </w:r>
          </w:p>
        </w:tc>
        <w:tc>
          <w:tcPr>
            <w:tcW w:w="992" w:type="dxa"/>
          </w:tcPr>
          <w:p w14:paraId="32626356" w14:textId="77777777" w:rsidR="0056038A" w:rsidRPr="00F06C90" w:rsidRDefault="0056038A" w:rsidP="000F0BA4">
            <w:pPr>
              <w:jc w:val="center"/>
              <w:rPr>
                <w:szCs w:val="20"/>
              </w:rPr>
            </w:pPr>
            <w:r w:rsidRPr="00F06C90">
              <w:rPr>
                <w:szCs w:val="20"/>
              </w:rPr>
              <w:t>1</w:t>
            </w:r>
          </w:p>
        </w:tc>
        <w:tc>
          <w:tcPr>
            <w:tcW w:w="992" w:type="dxa"/>
          </w:tcPr>
          <w:p w14:paraId="0389A506" w14:textId="77777777" w:rsidR="0056038A" w:rsidRPr="00F06C90" w:rsidRDefault="0056038A" w:rsidP="000F0BA4">
            <w:pPr>
              <w:jc w:val="center"/>
              <w:rPr>
                <w:szCs w:val="20"/>
              </w:rPr>
            </w:pPr>
            <w:r w:rsidRPr="00F06C90">
              <w:rPr>
                <w:szCs w:val="20"/>
              </w:rPr>
              <w:t>0</w:t>
            </w:r>
          </w:p>
        </w:tc>
        <w:tc>
          <w:tcPr>
            <w:tcW w:w="851" w:type="dxa"/>
          </w:tcPr>
          <w:p w14:paraId="528C954B" w14:textId="77777777" w:rsidR="0056038A" w:rsidRPr="00F06C90" w:rsidRDefault="0056038A" w:rsidP="000F0BA4">
            <w:pPr>
              <w:jc w:val="center"/>
              <w:rPr>
                <w:szCs w:val="20"/>
              </w:rPr>
            </w:pPr>
            <w:r w:rsidRPr="00F06C90">
              <w:rPr>
                <w:szCs w:val="20"/>
              </w:rPr>
              <w:t>0</w:t>
            </w:r>
          </w:p>
        </w:tc>
      </w:tr>
      <w:tr w:rsidR="0056038A" w:rsidRPr="00F06C90" w14:paraId="14C8943D" w14:textId="77777777" w:rsidTr="00F06C90">
        <w:trPr>
          <w:jc w:val="center"/>
        </w:trPr>
        <w:tc>
          <w:tcPr>
            <w:tcW w:w="709" w:type="dxa"/>
            <w:vMerge/>
            <w:vAlign w:val="center"/>
          </w:tcPr>
          <w:p w14:paraId="4EF22F41" w14:textId="77777777" w:rsidR="0056038A" w:rsidRPr="00F06C90" w:rsidRDefault="0056038A" w:rsidP="000F0BA4">
            <w:pPr>
              <w:jc w:val="both"/>
              <w:rPr>
                <w:color w:val="000000"/>
                <w:szCs w:val="20"/>
              </w:rPr>
            </w:pPr>
          </w:p>
        </w:tc>
        <w:tc>
          <w:tcPr>
            <w:tcW w:w="976" w:type="dxa"/>
            <w:vMerge/>
            <w:vAlign w:val="center"/>
          </w:tcPr>
          <w:p w14:paraId="3C0BADC0" w14:textId="77777777" w:rsidR="0056038A" w:rsidRPr="00F06C90" w:rsidRDefault="0056038A" w:rsidP="000F0BA4">
            <w:pPr>
              <w:jc w:val="both"/>
              <w:rPr>
                <w:szCs w:val="20"/>
              </w:rPr>
            </w:pPr>
          </w:p>
        </w:tc>
        <w:tc>
          <w:tcPr>
            <w:tcW w:w="993" w:type="dxa"/>
            <w:vAlign w:val="center"/>
          </w:tcPr>
          <w:p w14:paraId="27157020" w14:textId="77777777" w:rsidR="0056038A" w:rsidRPr="00F06C90" w:rsidRDefault="0056038A" w:rsidP="000F0BA4">
            <w:pPr>
              <w:jc w:val="center"/>
              <w:rPr>
                <w:szCs w:val="20"/>
              </w:rPr>
            </w:pPr>
            <w:r w:rsidRPr="00F06C90">
              <w:rPr>
                <w:szCs w:val="20"/>
              </w:rPr>
              <w:t>28,57</w:t>
            </w:r>
          </w:p>
        </w:tc>
        <w:tc>
          <w:tcPr>
            <w:tcW w:w="992" w:type="dxa"/>
            <w:vAlign w:val="center"/>
          </w:tcPr>
          <w:p w14:paraId="7C7B3923" w14:textId="77777777" w:rsidR="0056038A" w:rsidRPr="00F06C90" w:rsidRDefault="0056038A" w:rsidP="000F0BA4">
            <w:pPr>
              <w:jc w:val="center"/>
              <w:rPr>
                <w:szCs w:val="20"/>
              </w:rPr>
            </w:pPr>
            <w:r w:rsidRPr="00F06C90">
              <w:rPr>
                <w:szCs w:val="20"/>
              </w:rPr>
              <w:t>17,14</w:t>
            </w:r>
          </w:p>
        </w:tc>
        <w:tc>
          <w:tcPr>
            <w:tcW w:w="992" w:type="dxa"/>
            <w:vAlign w:val="center"/>
          </w:tcPr>
          <w:p w14:paraId="1E4BF8CA" w14:textId="77777777" w:rsidR="0056038A" w:rsidRPr="00F06C90" w:rsidRDefault="0056038A" w:rsidP="000F0BA4">
            <w:pPr>
              <w:jc w:val="center"/>
              <w:rPr>
                <w:szCs w:val="20"/>
              </w:rPr>
            </w:pPr>
            <w:r w:rsidRPr="00F06C90">
              <w:rPr>
                <w:szCs w:val="20"/>
              </w:rPr>
              <w:t>17,14</w:t>
            </w:r>
          </w:p>
        </w:tc>
        <w:tc>
          <w:tcPr>
            <w:tcW w:w="992" w:type="dxa"/>
            <w:vAlign w:val="center"/>
          </w:tcPr>
          <w:p w14:paraId="639427A3" w14:textId="77777777" w:rsidR="0056038A" w:rsidRPr="00F06C90" w:rsidRDefault="0056038A" w:rsidP="000F0BA4">
            <w:pPr>
              <w:jc w:val="center"/>
              <w:rPr>
                <w:szCs w:val="20"/>
              </w:rPr>
            </w:pPr>
            <w:r w:rsidRPr="00F06C90">
              <w:rPr>
                <w:szCs w:val="20"/>
              </w:rPr>
              <w:t>25,71</w:t>
            </w:r>
          </w:p>
        </w:tc>
        <w:tc>
          <w:tcPr>
            <w:tcW w:w="993" w:type="dxa"/>
            <w:vAlign w:val="center"/>
          </w:tcPr>
          <w:p w14:paraId="45C17247" w14:textId="77777777" w:rsidR="0056038A" w:rsidRPr="00F06C90" w:rsidRDefault="0056038A" w:rsidP="000F0BA4">
            <w:pPr>
              <w:jc w:val="center"/>
              <w:rPr>
                <w:szCs w:val="20"/>
              </w:rPr>
            </w:pPr>
            <w:r w:rsidRPr="00F06C90">
              <w:rPr>
                <w:szCs w:val="20"/>
              </w:rPr>
              <w:t>8,57</w:t>
            </w:r>
          </w:p>
        </w:tc>
        <w:tc>
          <w:tcPr>
            <w:tcW w:w="992" w:type="dxa"/>
            <w:vAlign w:val="center"/>
          </w:tcPr>
          <w:p w14:paraId="2949F45F" w14:textId="77777777" w:rsidR="0056038A" w:rsidRPr="00F06C90" w:rsidRDefault="0056038A" w:rsidP="000F0BA4">
            <w:pPr>
              <w:jc w:val="center"/>
              <w:rPr>
                <w:szCs w:val="20"/>
              </w:rPr>
            </w:pPr>
            <w:r w:rsidRPr="00F06C90">
              <w:rPr>
                <w:szCs w:val="20"/>
              </w:rPr>
              <w:t>2,86</w:t>
            </w:r>
          </w:p>
        </w:tc>
        <w:tc>
          <w:tcPr>
            <w:tcW w:w="992" w:type="dxa"/>
            <w:vAlign w:val="center"/>
          </w:tcPr>
          <w:p w14:paraId="1530AD8A" w14:textId="77777777" w:rsidR="0056038A" w:rsidRPr="00F06C90" w:rsidRDefault="0056038A" w:rsidP="000F0BA4">
            <w:pPr>
              <w:jc w:val="center"/>
              <w:rPr>
                <w:szCs w:val="20"/>
              </w:rPr>
            </w:pPr>
            <w:r w:rsidRPr="00F06C90">
              <w:rPr>
                <w:szCs w:val="20"/>
              </w:rPr>
              <w:t>0,00</w:t>
            </w:r>
          </w:p>
        </w:tc>
        <w:tc>
          <w:tcPr>
            <w:tcW w:w="851" w:type="dxa"/>
            <w:vAlign w:val="center"/>
          </w:tcPr>
          <w:p w14:paraId="077E567C" w14:textId="77777777" w:rsidR="0056038A" w:rsidRPr="00F06C90" w:rsidRDefault="0056038A" w:rsidP="000F0BA4">
            <w:pPr>
              <w:jc w:val="center"/>
              <w:rPr>
                <w:szCs w:val="20"/>
              </w:rPr>
            </w:pPr>
            <w:r w:rsidRPr="00F06C90">
              <w:rPr>
                <w:szCs w:val="20"/>
              </w:rPr>
              <w:t>0,00</w:t>
            </w:r>
          </w:p>
        </w:tc>
      </w:tr>
    </w:tbl>
    <w:p w14:paraId="6DEB9CAF" w14:textId="77777777" w:rsidR="0056038A" w:rsidRPr="0084614A" w:rsidRDefault="0056038A" w:rsidP="0056038A">
      <w:pPr>
        <w:ind w:firstLine="284"/>
        <w:jc w:val="both"/>
        <w:rPr>
          <w:color w:val="0070C0"/>
          <w:szCs w:val="22"/>
        </w:rPr>
      </w:pPr>
    </w:p>
    <w:p w14:paraId="02E6CC15" w14:textId="77777777" w:rsidR="0056038A" w:rsidRPr="0084614A" w:rsidRDefault="0056038A" w:rsidP="0056038A">
      <w:pPr>
        <w:ind w:firstLine="284"/>
        <w:jc w:val="both"/>
        <w:rPr>
          <w:rStyle w:val="fontstyle01"/>
          <w:b/>
          <w:sz w:val="22"/>
          <w:szCs w:val="22"/>
        </w:rPr>
      </w:pPr>
    </w:p>
    <w:p w14:paraId="6B2FE152" w14:textId="77777777" w:rsidR="0056038A" w:rsidRPr="0084614A" w:rsidRDefault="0056038A" w:rsidP="0056038A">
      <w:pPr>
        <w:jc w:val="center"/>
        <w:rPr>
          <w:color w:val="0070C0"/>
          <w:szCs w:val="22"/>
        </w:rPr>
      </w:pPr>
      <w:r w:rsidRPr="0084614A">
        <w:rPr>
          <w:noProof/>
          <w:szCs w:val="22"/>
          <w:bdr w:val="single" w:sz="4" w:space="0" w:color="auto"/>
          <w:lang w:val="en-MY" w:eastAsia="en-MY"/>
        </w:rPr>
        <w:drawing>
          <wp:inline distT="0" distB="0" distL="0" distR="0" wp14:anchorId="2F761370" wp14:editId="5FD46EDA">
            <wp:extent cx="4843780" cy="3045124"/>
            <wp:effectExtent l="0" t="0" r="1397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6E400A0" w14:textId="77777777" w:rsidR="0056038A" w:rsidRPr="000F6032" w:rsidRDefault="0056038A" w:rsidP="002C0E1B">
      <w:pPr>
        <w:ind w:firstLine="284"/>
        <w:jc w:val="center"/>
        <w:rPr>
          <w:b/>
          <w:sz w:val="16"/>
        </w:rPr>
      </w:pPr>
      <w:r w:rsidRPr="000F6032">
        <w:rPr>
          <w:b/>
          <w:sz w:val="16"/>
        </w:rPr>
        <w:t>Fig. 3 - f</w:t>
      </w:r>
      <w:r w:rsidRPr="007216EC">
        <w:rPr>
          <w:b/>
          <w:sz w:val="16"/>
          <w:vertAlign w:val="subscript"/>
        </w:rPr>
        <w:t>i</w:t>
      </w:r>
      <w:r w:rsidRPr="000F6032">
        <w:rPr>
          <w:b/>
          <w:sz w:val="16"/>
        </w:rPr>
        <w:t xml:space="preserve"> frequency of learning results</w:t>
      </w:r>
    </w:p>
    <w:p w14:paraId="13F8D205" w14:textId="77777777" w:rsidR="002C0E1B" w:rsidRPr="002C0E1B" w:rsidRDefault="002C0E1B" w:rsidP="002C0E1B">
      <w:pPr>
        <w:ind w:firstLine="284"/>
        <w:jc w:val="center"/>
        <w:rPr>
          <w:b/>
        </w:rPr>
      </w:pPr>
    </w:p>
    <w:p w14:paraId="4B9DBFC4" w14:textId="77777777" w:rsidR="002C0E1B" w:rsidRPr="002C0E1B" w:rsidRDefault="002C0E1B" w:rsidP="002A602E">
      <w:pPr>
        <w:spacing w:before="240" w:after="80" w:line="200" w:lineRule="exact"/>
        <w:jc w:val="center"/>
        <w:rPr>
          <w:b/>
        </w:rPr>
      </w:pPr>
      <w:r w:rsidRPr="002C0E1B">
        <w:rPr>
          <w:b/>
        </w:rPr>
        <w:t>Table 6 - Table frequency of backward convergence (fa</w:t>
      </w:r>
      <w:r w:rsidRPr="002C0E1B">
        <w:rPr>
          <w:b/>
        </w:rPr>
        <w:sym w:font="Symbol" w:char="F0AF"/>
      </w:r>
      <w:r w:rsidRPr="002C0E1B">
        <w:rPr>
          <w:b/>
        </w:rPr>
        <w:t>) learning results</w:t>
      </w:r>
    </w:p>
    <w:tbl>
      <w:tblPr>
        <w:tblW w:w="9507" w:type="dxa"/>
        <w:jc w:val="center"/>
        <w:tblBorders>
          <w:top w:val="single" w:sz="4" w:space="0" w:color="auto"/>
          <w:bottom w:val="single" w:sz="4" w:space="0" w:color="auto"/>
        </w:tblBorders>
        <w:tblLayout w:type="fixed"/>
        <w:tblLook w:val="04A0" w:firstRow="1" w:lastRow="0" w:firstColumn="1" w:lastColumn="0" w:noHBand="0" w:noVBand="1"/>
      </w:tblPr>
      <w:tblGrid>
        <w:gridCol w:w="709"/>
        <w:gridCol w:w="1001"/>
        <w:gridCol w:w="993"/>
        <w:gridCol w:w="992"/>
        <w:gridCol w:w="992"/>
        <w:gridCol w:w="992"/>
        <w:gridCol w:w="993"/>
        <w:gridCol w:w="992"/>
        <w:gridCol w:w="992"/>
        <w:gridCol w:w="851"/>
      </w:tblGrid>
      <w:tr w:rsidR="002C0E1B" w:rsidRPr="00EB58AC" w14:paraId="3843F111" w14:textId="77777777" w:rsidTr="00EB58AC">
        <w:trPr>
          <w:jc w:val="center"/>
        </w:trPr>
        <w:tc>
          <w:tcPr>
            <w:tcW w:w="709" w:type="dxa"/>
            <w:vMerge w:val="restart"/>
            <w:tcBorders>
              <w:top w:val="single" w:sz="4" w:space="0" w:color="auto"/>
              <w:bottom w:val="single" w:sz="4" w:space="0" w:color="auto"/>
            </w:tcBorders>
          </w:tcPr>
          <w:p w14:paraId="7DD293A6" w14:textId="77777777" w:rsidR="002C0E1B" w:rsidRPr="00EB58AC" w:rsidRDefault="002C0E1B" w:rsidP="003B1EAA">
            <w:pPr>
              <w:jc w:val="center"/>
              <w:rPr>
                <w:b/>
                <w:color w:val="000000" w:themeColor="text1"/>
                <w:szCs w:val="20"/>
              </w:rPr>
            </w:pPr>
          </w:p>
          <w:p w14:paraId="12773228" w14:textId="77777777" w:rsidR="002C0E1B" w:rsidRPr="00EB58AC" w:rsidRDefault="002C0E1B" w:rsidP="003B1EAA">
            <w:pPr>
              <w:jc w:val="center"/>
              <w:rPr>
                <w:b/>
                <w:color w:val="000000" w:themeColor="text1"/>
                <w:szCs w:val="20"/>
              </w:rPr>
            </w:pPr>
            <w:r w:rsidRPr="00EB58AC">
              <w:rPr>
                <w:b/>
                <w:color w:val="000000" w:themeColor="text1"/>
                <w:szCs w:val="20"/>
              </w:rPr>
              <w:t>Class</w:t>
            </w:r>
          </w:p>
        </w:tc>
        <w:tc>
          <w:tcPr>
            <w:tcW w:w="1001" w:type="dxa"/>
            <w:vMerge w:val="restart"/>
            <w:tcBorders>
              <w:top w:val="single" w:sz="4" w:space="0" w:color="auto"/>
              <w:bottom w:val="single" w:sz="4" w:space="0" w:color="auto"/>
            </w:tcBorders>
          </w:tcPr>
          <w:p w14:paraId="01CBDCE9" w14:textId="77777777" w:rsidR="002C0E1B" w:rsidRPr="00EB58AC" w:rsidRDefault="002C0E1B" w:rsidP="003B1EAA">
            <w:pPr>
              <w:jc w:val="center"/>
              <w:rPr>
                <w:b/>
                <w:color w:val="000000" w:themeColor="text1"/>
                <w:szCs w:val="20"/>
              </w:rPr>
            </w:pPr>
          </w:p>
          <w:p w14:paraId="04E688DA" w14:textId="77777777" w:rsidR="002C0E1B" w:rsidRPr="00EB58AC" w:rsidRDefault="002C0E1B" w:rsidP="003B1EAA">
            <w:pPr>
              <w:jc w:val="center"/>
              <w:rPr>
                <w:b/>
                <w:color w:val="000000" w:themeColor="text1"/>
                <w:szCs w:val="20"/>
              </w:rPr>
            </w:pPr>
            <w:r w:rsidRPr="00EB58AC">
              <w:rPr>
                <w:b/>
                <w:color w:val="000000" w:themeColor="text1"/>
                <w:szCs w:val="20"/>
              </w:rPr>
              <w:t>Total students</w:t>
            </w:r>
          </w:p>
        </w:tc>
        <w:tc>
          <w:tcPr>
            <w:tcW w:w="7797" w:type="dxa"/>
            <w:gridSpan w:val="8"/>
            <w:tcBorders>
              <w:top w:val="single" w:sz="4" w:space="0" w:color="auto"/>
              <w:bottom w:val="single" w:sz="4" w:space="0" w:color="auto"/>
            </w:tcBorders>
            <w:vAlign w:val="center"/>
          </w:tcPr>
          <w:p w14:paraId="1B1CBB23" w14:textId="77777777" w:rsidR="002C0E1B" w:rsidRPr="00EB58AC" w:rsidRDefault="002C0E1B" w:rsidP="003B1EAA">
            <w:pPr>
              <w:jc w:val="center"/>
              <w:rPr>
                <w:b/>
                <w:color w:val="000000" w:themeColor="text1"/>
                <w:szCs w:val="20"/>
              </w:rPr>
            </w:pPr>
            <w:r w:rsidRPr="00EB58AC">
              <w:rPr>
                <w:b/>
                <w:color w:val="000000" w:themeColor="text1"/>
                <w:szCs w:val="20"/>
              </w:rPr>
              <w:t>Number of exams with X</w:t>
            </w:r>
            <w:r w:rsidRPr="00EB58AC">
              <w:rPr>
                <w:b/>
                <w:color w:val="000000" w:themeColor="text1"/>
                <w:szCs w:val="20"/>
                <w:vertAlign w:val="subscript"/>
              </w:rPr>
              <w:t>i</w:t>
            </w:r>
            <w:r w:rsidRPr="00EB58AC">
              <w:rPr>
                <w:b/>
                <w:color w:val="000000" w:themeColor="text1"/>
                <w:szCs w:val="20"/>
              </w:rPr>
              <w:t xml:space="preserve"> score</w:t>
            </w:r>
          </w:p>
        </w:tc>
      </w:tr>
      <w:tr w:rsidR="002C0E1B" w:rsidRPr="00EB58AC" w14:paraId="6BFB6297" w14:textId="77777777" w:rsidTr="00EB58AC">
        <w:trPr>
          <w:jc w:val="center"/>
        </w:trPr>
        <w:tc>
          <w:tcPr>
            <w:tcW w:w="709" w:type="dxa"/>
            <w:vMerge/>
            <w:tcBorders>
              <w:top w:val="single" w:sz="4" w:space="0" w:color="auto"/>
            </w:tcBorders>
          </w:tcPr>
          <w:p w14:paraId="2183EF15" w14:textId="77777777" w:rsidR="002C0E1B" w:rsidRPr="00EB58AC" w:rsidRDefault="002C0E1B" w:rsidP="003B1EAA">
            <w:pPr>
              <w:jc w:val="center"/>
              <w:rPr>
                <w:color w:val="000000" w:themeColor="text1"/>
                <w:szCs w:val="20"/>
              </w:rPr>
            </w:pPr>
          </w:p>
        </w:tc>
        <w:tc>
          <w:tcPr>
            <w:tcW w:w="1001" w:type="dxa"/>
            <w:vMerge/>
            <w:tcBorders>
              <w:top w:val="single" w:sz="4" w:space="0" w:color="auto"/>
            </w:tcBorders>
          </w:tcPr>
          <w:p w14:paraId="5D77C8F3" w14:textId="77777777" w:rsidR="002C0E1B" w:rsidRPr="00EB58AC" w:rsidRDefault="002C0E1B" w:rsidP="003B1EAA">
            <w:pPr>
              <w:jc w:val="center"/>
              <w:rPr>
                <w:color w:val="000000" w:themeColor="text1"/>
                <w:szCs w:val="20"/>
              </w:rPr>
            </w:pPr>
          </w:p>
        </w:tc>
        <w:tc>
          <w:tcPr>
            <w:tcW w:w="993" w:type="dxa"/>
            <w:tcBorders>
              <w:top w:val="single" w:sz="4" w:space="0" w:color="auto"/>
              <w:bottom w:val="single" w:sz="4" w:space="0" w:color="auto"/>
            </w:tcBorders>
            <w:vAlign w:val="center"/>
          </w:tcPr>
          <w:p w14:paraId="576507B0" w14:textId="77777777" w:rsidR="002C0E1B" w:rsidRPr="00EB58AC" w:rsidRDefault="002C0E1B" w:rsidP="003B1EAA">
            <w:pPr>
              <w:jc w:val="center"/>
              <w:rPr>
                <w:color w:val="000000" w:themeColor="text1"/>
                <w:szCs w:val="20"/>
              </w:rPr>
            </w:pPr>
            <w:r w:rsidRPr="00EB58AC">
              <w:rPr>
                <w:color w:val="000000" w:themeColor="text1"/>
                <w:szCs w:val="20"/>
              </w:rPr>
              <w:t>A</w:t>
            </w:r>
          </w:p>
          <w:p w14:paraId="59E4DCFA" w14:textId="77777777" w:rsidR="002C0E1B" w:rsidRPr="00EB58AC" w:rsidRDefault="002C0E1B" w:rsidP="003B1EAA">
            <w:pPr>
              <w:jc w:val="center"/>
              <w:rPr>
                <w:color w:val="000000" w:themeColor="text1"/>
                <w:szCs w:val="20"/>
              </w:rPr>
            </w:pPr>
            <w:r w:rsidRPr="00EB58AC">
              <w:rPr>
                <w:color w:val="000000" w:themeColor="text1"/>
                <w:szCs w:val="20"/>
              </w:rPr>
              <w:t>(8,5-10)</w:t>
            </w:r>
          </w:p>
        </w:tc>
        <w:tc>
          <w:tcPr>
            <w:tcW w:w="992" w:type="dxa"/>
            <w:tcBorders>
              <w:top w:val="single" w:sz="4" w:space="0" w:color="auto"/>
              <w:bottom w:val="single" w:sz="4" w:space="0" w:color="auto"/>
            </w:tcBorders>
            <w:vAlign w:val="center"/>
          </w:tcPr>
          <w:p w14:paraId="3BFE4E31" w14:textId="77777777" w:rsidR="002C0E1B" w:rsidRPr="00EB58AC" w:rsidRDefault="002C0E1B" w:rsidP="003B1EAA">
            <w:pPr>
              <w:jc w:val="center"/>
              <w:rPr>
                <w:color w:val="000000" w:themeColor="text1"/>
                <w:szCs w:val="20"/>
                <w:vertAlign w:val="superscript"/>
              </w:rPr>
            </w:pPr>
            <w:r w:rsidRPr="00EB58AC">
              <w:rPr>
                <w:color w:val="000000" w:themeColor="text1"/>
                <w:szCs w:val="20"/>
              </w:rPr>
              <w:t>B</w:t>
            </w:r>
            <w:r w:rsidRPr="00EB58AC">
              <w:rPr>
                <w:color w:val="000000" w:themeColor="text1"/>
                <w:szCs w:val="20"/>
                <w:vertAlign w:val="superscript"/>
              </w:rPr>
              <w:t>+</w:t>
            </w:r>
          </w:p>
          <w:p w14:paraId="260A92CE" w14:textId="77777777" w:rsidR="002C0E1B" w:rsidRPr="00EB58AC" w:rsidRDefault="002C0E1B" w:rsidP="003B1EAA">
            <w:pPr>
              <w:jc w:val="center"/>
              <w:rPr>
                <w:color w:val="000000" w:themeColor="text1"/>
                <w:szCs w:val="20"/>
                <w:vertAlign w:val="superscript"/>
              </w:rPr>
            </w:pPr>
            <w:r w:rsidRPr="00EB58AC">
              <w:rPr>
                <w:color w:val="000000" w:themeColor="text1"/>
                <w:szCs w:val="20"/>
              </w:rPr>
              <w:t>(8,0-8,4)</w:t>
            </w:r>
          </w:p>
        </w:tc>
        <w:tc>
          <w:tcPr>
            <w:tcW w:w="992" w:type="dxa"/>
            <w:tcBorders>
              <w:top w:val="single" w:sz="4" w:space="0" w:color="auto"/>
              <w:bottom w:val="single" w:sz="4" w:space="0" w:color="auto"/>
            </w:tcBorders>
            <w:vAlign w:val="center"/>
          </w:tcPr>
          <w:p w14:paraId="7EAEBCFA" w14:textId="77777777" w:rsidR="002C0E1B" w:rsidRPr="00EB58AC" w:rsidRDefault="002C0E1B" w:rsidP="003B1EAA">
            <w:pPr>
              <w:jc w:val="center"/>
              <w:rPr>
                <w:color w:val="000000" w:themeColor="text1"/>
                <w:szCs w:val="20"/>
              </w:rPr>
            </w:pPr>
            <w:r w:rsidRPr="00EB58AC">
              <w:rPr>
                <w:color w:val="000000" w:themeColor="text1"/>
                <w:szCs w:val="20"/>
              </w:rPr>
              <w:t>B</w:t>
            </w:r>
          </w:p>
          <w:p w14:paraId="1094C25A" w14:textId="77777777" w:rsidR="002C0E1B" w:rsidRPr="00EB58AC" w:rsidRDefault="002C0E1B" w:rsidP="003B1EAA">
            <w:pPr>
              <w:jc w:val="center"/>
              <w:rPr>
                <w:color w:val="000000" w:themeColor="text1"/>
                <w:szCs w:val="20"/>
              </w:rPr>
            </w:pPr>
            <w:r w:rsidRPr="00EB58AC">
              <w:rPr>
                <w:color w:val="000000" w:themeColor="text1"/>
                <w:szCs w:val="20"/>
              </w:rPr>
              <w:t>(7,0-7,9)</w:t>
            </w:r>
          </w:p>
        </w:tc>
        <w:tc>
          <w:tcPr>
            <w:tcW w:w="992" w:type="dxa"/>
            <w:tcBorders>
              <w:top w:val="single" w:sz="4" w:space="0" w:color="auto"/>
              <w:bottom w:val="single" w:sz="4" w:space="0" w:color="auto"/>
            </w:tcBorders>
            <w:vAlign w:val="center"/>
          </w:tcPr>
          <w:p w14:paraId="35F0B02B" w14:textId="77777777" w:rsidR="002C0E1B" w:rsidRPr="00EB58AC" w:rsidRDefault="002C0E1B" w:rsidP="003B1EAA">
            <w:pPr>
              <w:jc w:val="center"/>
              <w:rPr>
                <w:color w:val="000000" w:themeColor="text1"/>
                <w:szCs w:val="20"/>
                <w:vertAlign w:val="superscript"/>
              </w:rPr>
            </w:pPr>
            <w:r w:rsidRPr="00EB58AC">
              <w:rPr>
                <w:color w:val="000000" w:themeColor="text1"/>
                <w:szCs w:val="20"/>
              </w:rPr>
              <w:t>C</w:t>
            </w:r>
            <w:r w:rsidRPr="00EB58AC">
              <w:rPr>
                <w:color w:val="000000" w:themeColor="text1"/>
                <w:szCs w:val="20"/>
                <w:vertAlign w:val="superscript"/>
              </w:rPr>
              <w:t>+</w:t>
            </w:r>
          </w:p>
          <w:p w14:paraId="6DA3214F" w14:textId="77777777" w:rsidR="002C0E1B" w:rsidRPr="00EB58AC" w:rsidRDefault="002C0E1B" w:rsidP="003B1EAA">
            <w:pPr>
              <w:jc w:val="center"/>
              <w:rPr>
                <w:color w:val="000000" w:themeColor="text1"/>
                <w:szCs w:val="20"/>
                <w:vertAlign w:val="superscript"/>
              </w:rPr>
            </w:pPr>
            <w:r w:rsidRPr="00EB58AC">
              <w:rPr>
                <w:color w:val="000000" w:themeColor="text1"/>
                <w:szCs w:val="20"/>
              </w:rPr>
              <w:t>(6,5-6,9)</w:t>
            </w:r>
          </w:p>
        </w:tc>
        <w:tc>
          <w:tcPr>
            <w:tcW w:w="993" w:type="dxa"/>
            <w:tcBorders>
              <w:top w:val="single" w:sz="4" w:space="0" w:color="auto"/>
              <w:bottom w:val="single" w:sz="4" w:space="0" w:color="auto"/>
            </w:tcBorders>
            <w:vAlign w:val="center"/>
          </w:tcPr>
          <w:p w14:paraId="2641BCAD" w14:textId="77777777" w:rsidR="002C0E1B" w:rsidRPr="00EB58AC" w:rsidRDefault="002C0E1B" w:rsidP="003B1EAA">
            <w:pPr>
              <w:jc w:val="center"/>
              <w:rPr>
                <w:color w:val="000000" w:themeColor="text1"/>
                <w:szCs w:val="20"/>
              </w:rPr>
            </w:pPr>
            <w:r w:rsidRPr="00EB58AC">
              <w:rPr>
                <w:color w:val="000000" w:themeColor="text1"/>
                <w:szCs w:val="20"/>
              </w:rPr>
              <w:t>C</w:t>
            </w:r>
          </w:p>
          <w:p w14:paraId="42EFFEC2" w14:textId="77777777" w:rsidR="002C0E1B" w:rsidRPr="00EB58AC" w:rsidRDefault="002C0E1B" w:rsidP="003B1EAA">
            <w:pPr>
              <w:jc w:val="center"/>
              <w:rPr>
                <w:color w:val="000000" w:themeColor="text1"/>
                <w:szCs w:val="20"/>
              </w:rPr>
            </w:pPr>
            <w:r w:rsidRPr="00EB58AC">
              <w:rPr>
                <w:color w:val="000000" w:themeColor="text1"/>
                <w:szCs w:val="20"/>
              </w:rPr>
              <w:t>(5,5-6,4)</w:t>
            </w:r>
          </w:p>
        </w:tc>
        <w:tc>
          <w:tcPr>
            <w:tcW w:w="992" w:type="dxa"/>
            <w:tcBorders>
              <w:top w:val="single" w:sz="4" w:space="0" w:color="auto"/>
              <w:bottom w:val="single" w:sz="4" w:space="0" w:color="auto"/>
            </w:tcBorders>
          </w:tcPr>
          <w:p w14:paraId="0C0D1E03" w14:textId="77777777" w:rsidR="002C0E1B" w:rsidRPr="00EB58AC" w:rsidRDefault="002C0E1B" w:rsidP="003B1EAA">
            <w:pPr>
              <w:jc w:val="center"/>
              <w:rPr>
                <w:color w:val="000000" w:themeColor="text1"/>
                <w:szCs w:val="20"/>
                <w:vertAlign w:val="superscript"/>
              </w:rPr>
            </w:pPr>
            <w:r w:rsidRPr="00EB58AC">
              <w:rPr>
                <w:color w:val="000000" w:themeColor="text1"/>
                <w:szCs w:val="20"/>
              </w:rPr>
              <w:t>D</w:t>
            </w:r>
            <w:r w:rsidRPr="00EB58AC">
              <w:rPr>
                <w:color w:val="000000" w:themeColor="text1"/>
                <w:szCs w:val="20"/>
                <w:vertAlign w:val="superscript"/>
              </w:rPr>
              <w:t>+</w:t>
            </w:r>
          </w:p>
          <w:p w14:paraId="6E452224" w14:textId="77777777" w:rsidR="002C0E1B" w:rsidRPr="00EB58AC" w:rsidRDefault="002C0E1B" w:rsidP="003B1EAA">
            <w:pPr>
              <w:jc w:val="center"/>
              <w:rPr>
                <w:color w:val="000000" w:themeColor="text1"/>
                <w:szCs w:val="20"/>
                <w:vertAlign w:val="superscript"/>
              </w:rPr>
            </w:pPr>
            <w:r w:rsidRPr="00EB58AC">
              <w:rPr>
                <w:color w:val="000000" w:themeColor="text1"/>
                <w:szCs w:val="20"/>
              </w:rPr>
              <w:t>(5,0-5,4)</w:t>
            </w:r>
          </w:p>
        </w:tc>
        <w:tc>
          <w:tcPr>
            <w:tcW w:w="992" w:type="dxa"/>
            <w:tcBorders>
              <w:top w:val="single" w:sz="4" w:space="0" w:color="auto"/>
              <w:bottom w:val="single" w:sz="4" w:space="0" w:color="auto"/>
            </w:tcBorders>
          </w:tcPr>
          <w:p w14:paraId="6D3BC319" w14:textId="77777777" w:rsidR="002C0E1B" w:rsidRPr="00EB58AC" w:rsidRDefault="002C0E1B" w:rsidP="003B1EAA">
            <w:pPr>
              <w:jc w:val="center"/>
              <w:rPr>
                <w:color w:val="000000" w:themeColor="text1"/>
                <w:szCs w:val="20"/>
              </w:rPr>
            </w:pPr>
            <w:r w:rsidRPr="00EB58AC">
              <w:rPr>
                <w:color w:val="000000" w:themeColor="text1"/>
                <w:szCs w:val="20"/>
              </w:rPr>
              <w:t>D</w:t>
            </w:r>
          </w:p>
          <w:p w14:paraId="28B89862" w14:textId="77777777" w:rsidR="002C0E1B" w:rsidRPr="00EB58AC" w:rsidRDefault="002C0E1B" w:rsidP="003B1EAA">
            <w:pPr>
              <w:jc w:val="center"/>
              <w:rPr>
                <w:color w:val="000000" w:themeColor="text1"/>
                <w:szCs w:val="20"/>
              </w:rPr>
            </w:pPr>
            <w:r w:rsidRPr="00EB58AC">
              <w:rPr>
                <w:color w:val="000000" w:themeColor="text1"/>
                <w:szCs w:val="20"/>
              </w:rPr>
              <w:t>(4,0-4,9)</w:t>
            </w:r>
          </w:p>
        </w:tc>
        <w:tc>
          <w:tcPr>
            <w:tcW w:w="851" w:type="dxa"/>
            <w:tcBorders>
              <w:top w:val="single" w:sz="4" w:space="0" w:color="auto"/>
              <w:bottom w:val="single" w:sz="4" w:space="0" w:color="auto"/>
            </w:tcBorders>
          </w:tcPr>
          <w:p w14:paraId="4CBABCA5" w14:textId="77777777" w:rsidR="002C0E1B" w:rsidRPr="00EB58AC" w:rsidRDefault="002C0E1B" w:rsidP="003B1EAA">
            <w:pPr>
              <w:jc w:val="center"/>
              <w:rPr>
                <w:color w:val="000000" w:themeColor="text1"/>
                <w:szCs w:val="20"/>
              </w:rPr>
            </w:pPr>
            <w:r w:rsidRPr="00EB58AC">
              <w:rPr>
                <w:color w:val="000000" w:themeColor="text1"/>
                <w:szCs w:val="20"/>
              </w:rPr>
              <w:t>F</w:t>
            </w:r>
          </w:p>
          <w:p w14:paraId="32E3E600" w14:textId="77777777" w:rsidR="002C0E1B" w:rsidRPr="00EB58AC" w:rsidRDefault="002C0E1B" w:rsidP="003B1EAA">
            <w:pPr>
              <w:jc w:val="center"/>
              <w:rPr>
                <w:color w:val="000000" w:themeColor="text1"/>
                <w:szCs w:val="20"/>
              </w:rPr>
            </w:pPr>
            <w:r w:rsidRPr="00EB58AC">
              <w:rPr>
                <w:color w:val="000000" w:themeColor="text1"/>
                <w:szCs w:val="20"/>
              </w:rPr>
              <w:t>(&lt; 4,0)</w:t>
            </w:r>
          </w:p>
        </w:tc>
      </w:tr>
      <w:tr w:rsidR="002C0E1B" w:rsidRPr="00EB58AC" w14:paraId="05F09E38" w14:textId="77777777" w:rsidTr="00EB58AC">
        <w:trPr>
          <w:jc w:val="center"/>
        </w:trPr>
        <w:tc>
          <w:tcPr>
            <w:tcW w:w="709" w:type="dxa"/>
            <w:vMerge/>
            <w:vAlign w:val="center"/>
          </w:tcPr>
          <w:p w14:paraId="26023DD5" w14:textId="77777777" w:rsidR="002C0E1B" w:rsidRPr="00EB58AC" w:rsidRDefault="002C0E1B" w:rsidP="003B1EAA">
            <w:pPr>
              <w:jc w:val="center"/>
              <w:rPr>
                <w:color w:val="000000" w:themeColor="text1"/>
                <w:szCs w:val="20"/>
              </w:rPr>
            </w:pPr>
          </w:p>
        </w:tc>
        <w:tc>
          <w:tcPr>
            <w:tcW w:w="1001" w:type="dxa"/>
            <w:vMerge/>
            <w:vAlign w:val="center"/>
          </w:tcPr>
          <w:p w14:paraId="3F0ADB56" w14:textId="77777777" w:rsidR="002C0E1B" w:rsidRPr="00EB58AC" w:rsidRDefault="002C0E1B" w:rsidP="003B1EAA">
            <w:pPr>
              <w:jc w:val="center"/>
              <w:rPr>
                <w:color w:val="000000" w:themeColor="text1"/>
                <w:szCs w:val="20"/>
              </w:rPr>
            </w:pPr>
          </w:p>
        </w:tc>
        <w:tc>
          <w:tcPr>
            <w:tcW w:w="993" w:type="dxa"/>
            <w:tcBorders>
              <w:top w:val="single" w:sz="4" w:space="0" w:color="auto"/>
            </w:tcBorders>
            <w:vAlign w:val="center"/>
          </w:tcPr>
          <w:p w14:paraId="1E8D4C9C" w14:textId="77777777" w:rsidR="002C0E1B" w:rsidRPr="00EB58AC" w:rsidRDefault="002C0E1B" w:rsidP="003B1EAA">
            <w:pPr>
              <w:jc w:val="center"/>
              <w:rPr>
                <w:color w:val="000000" w:themeColor="text1"/>
                <w:szCs w:val="20"/>
              </w:rPr>
            </w:pPr>
            <w:r w:rsidRPr="00EB58AC">
              <w:rPr>
                <w:color w:val="000000" w:themeColor="text1"/>
                <w:szCs w:val="20"/>
              </w:rPr>
              <w:t>9,25</w:t>
            </w:r>
          </w:p>
        </w:tc>
        <w:tc>
          <w:tcPr>
            <w:tcW w:w="992" w:type="dxa"/>
            <w:tcBorders>
              <w:top w:val="single" w:sz="4" w:space="0" w:color="auto"/>
            </w:tcBorders>
            <w:vAlign w:val="center"/>
          </w:tcPr>
          <w:p w14:paraId="2DC0B266" w14:textId="77777777" w:rsidR="002C0E1B" w:rsidRPr="00EB58AC" w:rsidRDefault="002C0E1B" w:rsidP="003B1EAA">
            <w:pPr>
              <w:jc w:val="center"/>
              <w:rPr>
                <w:color w:val="000000" w:themeColor="text1"/>
                <w:szCs w:val="20"/>
              </w:rPr>
            </w:pPr>
            <w:r w:rsidRPr="00EB58AC">
              <w:rPr>
                <w:color w:val="000000" w:themeColor="text1"/>
                <w:szCs w:val="20"/>
              </w:rPr>
              <w:t>8,2</w:t>
            </w:r>
          </w:p>
        </w:tc>
        <w:tc>
          <w:tcPr>
            <w:tcW w:w="992" w:type="dxa"/>
            <w:tcBorders>
              <w:top w:val="single" w:sz="4" w:space="0" w:color="auto"/>
            </w:tcBorders>
            <w:vAlign w:val="center"/>
          </w:tcPr>
          <w:p w14:paraId="5488AF99" w14:textId="77777777" w:rsidR="002C0E1B" w:rsidRPr="00EB58AC" w:rsidRDefault="002C0E1B" w:rsidP="003B1EAA">
            <w:pPr>
              <w:jc w:val="center"/>
              <w:rPr>
                <w:color w:val="000000" w:themeColor="text1"/>
                <w:szCs w:val="20"/>
              </w:rPr>
            </w:pPr>
            <w:r w:rsidRPr="00EB58AC">
              <w:rPr>
                <w:color w:val="000000" w:themeColor="text1"/>
                <w:szCs w:val="20"/>
              </w:rPr>
              <w:t>7,45</w:t>
            </w:r>
          </w:p>
        </w:tc>
        <w:tc>
          <w:tcPr>
            <w:tcW w:w="992" w:type="dxa"/>
            <w:tcBorders>
              <w:top w:val="single" w:sz="4" w:space="0" w:color="auto"/>
            </w:tcBorders>
            <w:vAlign w:val="center"/>
          </w:tcPr>
          <w:p w14:paraId="1AC5516F" w14:textId="77777777" w:rsidR="002C0E1B" w:rsidRPr="00EB58AC" w:rsidRDefault="002C0E1B" w:rsidP="003B1EAA">
            <w:pPr>
              <w:jc w:val="center"/>
              <w:rPr>
                <w:color w:val="000000" w:themeColor="text1"/>
                <w:szCs w:val="20"/>
              </w:rPr>
            </w:pPr>
            <w:r w:rsidRPr="00EB58AC">
              <w:rPr>
                <w:color w:val="000000" w:themeColor="text1"/>
                <w:szCs w:val="20"/>
              </w:rPr>
              <w:t>6,7</w:t>
            </w:r>
          </w:p>
        </w:tc>
        <w:tc>
          <w:tcPr>
            <w:tcW w:w="993" w:type="dxa"/>
            <w:tcBorders>
              <w:top w:val="single" w:sz="4" w:space="0" w:color="auto"/>
            </w:tcBorders>
            <w:vAlign w:val="center"/>
          </w:tcPr>
          <w:p w14:paraId="1ED1C26D" w14:textId="77777777" w:rsidR="002C0E1B" w:rsidRPr="00EB58AC" w:rsidRDefault="002C0E1B" w:rsidP="003B1EAA">
            <w:pPr>
              <w:jc w:val="center"/>
              <w:rPr>
                <w:color w:val="000000" w:themeColor="text1"/>
                <w:szCs w:val="20"/>
              </w:rPr>
            </w:pPr>
            <w:r w:rsidRPr="00EB58AC">
              <w:rPr>
                <w:color w:val="000000" w:themeColor="text1"/>
                <w:szCs w:val="20"/>
              </w:rPr>
              <w:t>5,95</w:t>
            </w:r>
          </w:p>
        </w:tc>
        <w:tc>
          <w:tcPr>
            <w:tcW w:w="992" w:type="dxa"/>
            <w:tcBorders>
              <w:top w:val="single" w:sz="4" w:space="0" w:color="auto"/>
            </w:tcBorders>
          </w:tcPr>
          <w:p w14:paraId="701CA4CA" w14:textId="77777777" w:rsidR="002C0E1B" w:rsidRPr="00EB58AC" w:rsidRDefault="002C0E1B" w:rsidP="003B1EAA">
            <w:pPr>
              <w:jc w:val="center"/>
              <w:rPr>
                <w:color w:val="000000" w:themeColor="text1"/>
                <w:szCs w:val="20"/>
              </w:rPr>
            </w:pPr>
            <w:r w:rsidRPr="00EB58AC">
              <w:rPr>
                <w:color w:val="000000" w:themeColor="text1"/>
                <w:szCs w:val="20"/>
              </w:rPr>
              <w:t>5,2</w:t>
            </w:r>
          </w:p>
        </w:tc>
        <w:tc>
          <w:tcPr>
            <w:tcW w:w="992" w:type="dxa"/>
            <w:tcBorders>
              <w:top w:val="single" w:sz="4" w:space="0" w:color="auto"/>
            </w:tcBorders>
          </w:tcPr>
          <w:p w14:paraId="15EAC761" w14:textId="77777777" w:rsidR="002C0E1B" w:rsidRPr="00EB58AC" w:rsidRDefault="002C0E1B" w:rsidP="003B1EAA">
            <w:pPr>
              <w:jc w:val="center"/>
              <w:rPr>
                <w:color w:val="000000" w:themeColor="text1"/>
                <w:szCs w:val="20"/>
              </w:rPr>
            </w:pPr>
            <w:r w:rsidRPr="00EB58AC">
              <w:rPr>
                <w:color w:val="000000" w:themeColor="text1"/>
                <w:szCs w:val="20"/>
              </w:rPr>
              <w:t>4,45</w:t>
            </w:r>
          </w:p>
        </w:tc>
        <w:tc>
          <w:tcPr>
            <w:tcW w:w="851" w:type="dxa"/>
            <w:tcBorders>
              <w:top w:val="single" w:sz="4" w:space="0" w:color="auto"/>
            </w:tcBorders>
          </w:tcPr>
          <w:p w14:paraId="6AEFA097" w14:textId="77777777" w:rsidR="002C0E1B" w:rsidRPr="00EB58AC" w:rsidRDefault="002C0E1B" w:rsidP="003B1EAA">
            <w:pPr>
              <w:jc w:val="center"/>
              <w:rPr>
                <w:color w:val="000000" w:themeColor="text1"/>
                <w:szCs w:val="20"/>
              </w:rPr>
            </w:pPr>
            <w:r w:rsidRPr="00EB58AC">
              <w:rPr>
                <w:color w:val="000000" w:themeColor="text1"/>
                <w:szCs w:val="20"/>
              </w:rPr>
              <w:t>2,0</w:t>
            </w:r>
          </w:p>
        </w:tc>
      </w:tr>
      <w:tr w:rsidR="002C0E1B" w:rsidRPr="00EB58AC" w14:paraId="34A37099" w14:textId="77777777" w:rsidTr="00EB58AC">
        <w:trPr>
          <w:jc w:val="center"/>
        </w:trPr>
        <w:tc>
          <w:tcPr>
            <w:tcW w:w="709" w:type="dxa"/>
            <w:vAlign w:val="center"/>
            <w:hideMark/>
          </w:tcPr>
          <w:p w14:paraId="7AF28A67" w14:textId="77777777" w:rsidR="002C0E1B" w:rsidRPr="00EB58AC" w:rsidRDefault="002C0E1B" w:rsidP="003B1EAA">
            <w:pPr>
              <w:jc w:val="center"/>
              <w:rPr>
                <w:color w:val="000000" w:themeColor="text1"/>
                <w:szCs w:val="20"/>
              </w:rPr>
            </w:pPr>
            <w:r w:rsidRPr="00EB58AC">
              <w:rPr>
                <w:color w:val="000000" w:themeColor="text1"/>
                <w:szCs w:val="20"/>
              </w:rPr>
              <w:t>EC</w:t>
            </w:r>
          </w:p>
        </w:tc>
        <w:tc>
          <w:tcPr>
            <w:tcW w:w="1001" w:type="dxa"/>
            <w:vAlign w:val="center"/>
            <w:hideMark/>
          </w:tcPr>
          <w:p w14:paraId="45B49D3C" w14:textId="77777777" w:rsidR="002C0E1B" w:rsidRPr="00EB58AC" w:rsidRDefault="002C0E1B" w:rsidP="003B1EAA">
            <w:pPr>
              <w:jc w:val="center"/>
              <w:rPr>
                <w:color w:val="000000" w:themeColor="text1"/>
                <w:szCs w:val="20"/>
              </w:rPr>
            </w:pPr>
            <w:r w:rsidRPr="00EB58AC">
              <w:rPr>
                <w:color w:val="000000" w:themeColor="text1"/>
                <w:szCs w:val="20"/>
              </w:rPr>
              <w:t>36</w:t>
            </w:r>
          </w:p>
        </w:tc>
        <w:tc>
          <w:tcPr>
            <w:tcW w:w="993" w:type="dxa"/>
            <w:vAlign w:val="center"/>
          </w:tcPr>
          <w:p w14:paraId="3D00DE8A" w14:textId="77777777" w:rsidR="002C0E1B" w:rsidRPr="00EB58AC" w:rsidRDefault="002C0E1B" w:rsidP="003B1EAA">
            <w:pPr>
              <w:jc w:val="center"/>
              <w:rPr>
                <w:color w:val="000000" w:themeColor="text1"/>
                <w:szCs w:val="20"/>
              </w:rPr>
            </w:pPr>
            <w:r w:rsidRPr="00EB58AC">
              <w:rPr>
                <w:color w:val="000000" w:themeColor="text1"/>
                <w:szCs w:val="20"/>
              </w:rPr>
              <w:t>50,00</w:t>
            </w:r>
          </w:p>
        </w:tc>
        <w:tc>
          <w:tcPr>
            <w:tcW w:w="992" w:type="dxa"/>
            <w:vAlign w:val="center"/>
          </w:tcPr>
          <w:p w14:paraId="65662281" w14:textId="77777777" w:rsidR="002C0E1B" w:rsidRPr="00EB58AC" w:rsidRDefault="002C0E1B" w:rsidP="003B1EAA">
            <w:pPr>
              <w:jc w:val="center"/>
              <w:rPr>
                <w:color w:val="000000" w:themeColor="text1"/>
                <w:szCs w:val="20"/>
              </w:rPr>
            </w:pPr>
            <w:r w:rsidRPr="00EB58AC">
              <w:rPr>
                <w:color w:val="000000" w:themeColor="text1"/>
                <w:szCs w:val="20"/>
              </w:rPr>
              <w:t>88,89</w:t>
            </w:r>
          </w:p>
        </w:tc>
        <w:tc>
          <w:tcPr>
            <w:tcW w:w="992" w:type="dxa"/>
            <w:vAlign w:val="center"/>
          </w:tcPr>
          <w:p w14:paraId="1A46AEEB" w14:textId="77777777" w:rsidR="002C0E1B" w:rsidRPr="00EB58AC" w:rsidRDefault="002C0E1B" w:rsidP="003B1EAA">
            <w:pPr>
              <w:jc w:val="center"/>
              <w:rPr>
                <w:color w:val="000000" w:themeColor="text1"/>
                <w:szCs w:val="20"/>
              </w:rPr>
            </w:pPr>
            <w:r w:rsidRPr="00EB58AC">
              <w:rPr>
                <w:color w:val="000000" w:themeColor="text1"/>
                <w:szCs w:val="20"/>
              </w:rPr>
              <w:t>91,67</w:t>
            </w:r>
          </w:p>
        </w:tc>
        <w:tc>
          <w:tcPr>
            <w:tcW w:w="992" w:type="dxa"/>
            <w:vAlign w:val="center"/>
          </w:tcPr>
          <w:p w14:paraId="24B1311C" w14:textId="77777777" w:rsidR="002C0E1B" w:rsidRPr="00EB58AC" w:rsidRDefault="002C0E1B" w:rsidP="003B1EAA">
            <w:pPr>
              <w:jc w:val="center"/>
              <w:rPr>
                <w:color w:val="000000" w:themeColor="text1"/>
                <w:szCs w:val="20"/>
              </w:rPr>
            </w:pPr>
            <w:r w:rsidRPr="00EB58AC">
              <w:rPr>
                <w:color w:val="000000" w:themeColor="text1"/>
                <w:szCs w:val="20"/>
              </w:rPr>
              <w:t>94,44</w:t>
            </w:r>
          </w:p>
        </w:tc>
        <w:tc>
          <w:tcPr>
            <w:tcW w:w="993" w:type="dxa"/>
            <w:vAlign w:val="center"/>
          </w:tcPr>
          <w:p w14:paraId="3CB5BA71" w14:textId="77777777" w:rsidR="002C0E1B" w:rsidRPr="00EB58AC" w:rsidRDefault="002C0E1B" w:rsidP="003B1EAA">
            <w:pPr>
              <w:jc w:val="center"/>
              <w:rPr>
                <w:color w:val="000000" w:themeColor="text1"/>
                <w:szCs w:val="20"/>
              </w:rPr>
            </w:pPr>
            <w:r w:rsidRPr="00EB58AC">
              <w:rPr>
                <w:color w:val="000000" w:themeColor="text1"/>
                <w:szCs w:val="20"/>
              </w:rPr>
              <w:t>100</w:t>
            </w:r>
          </w:p>
        </w:tc>
        <w:tc>
          <w:tcPr>
            <w:tcW w:w="992" w:type="dxa"/>
            <w:vAlign w:val="center"/>
          </w:tcPr>
          <w:p w14:paraId="22BE4E87" w14:textId="77777777" w:rsidR="002C0E1B" w:rsidRPr="00EB58AC" w:rsidRDefault="002C0E1B" w:rsidP="003B1EAA">
            <w:pPr>
              <w:jc w:val="center"/>
              <w:rPr>
                <w:color w:val="000000" w:themeColor="text1"/>
                <w:szCs w:val="20"/>
              </w:rPr>
            </w:pPr>
            <w:r w:rsidRPr="00EB58AC">
              <w:rPr>
                <w:color w:val="000000" w:themeColor="text1"/>
                <w:szCs w:val="20"/>
              </w:rPr>
              <w:t>100</w:t>
            </w:r>
          </w:p>
        </w:tc>
        <w:tc>
          <w:tcPr>
            <w:tcW w:w="992" w:type="dxa"/>
            <w:vAlign w:val="center"/>
          </w:tcPr>
          <w:p w14:paraId="79D763D6" w14:textId="77777777" w:rsidR="002C0E1B" w:rsidRPr="00EB58AC" w:rsidRDefault="002C0E1B" w:rsidP="003B1EAA">
            <w:pPr>
              <w:jc w:val="center"/>
              <w:rPr>
                <w:color w:val="000000" w:themeColor="text1"/>
                <w:szCs w:val="20"/>
              </w:rPr>
            </w:pPr>
            <w:r w:rsidRPr="00EB58AC">
              <w:rPr>
                <w:color w:val="000000" w:themeColor="text1"/>
                <w:szCs w:val="20"/>
              </w:rPr>
              <w:t>100</w:t>
            </w:r>
          </w:p>
        </w:tc>
        <w:tc>
          <w:tcPr>
            <w:tcW w:w="851" w:type="dxa"/>
            <w:vAlign w:val="center"/>
          </w:tcPr>
          <w:p w14:paraId="571DFDEE" w14:textId="77777777" w:rsidR="002C0E1B" w:rsidRPr="00EB58AC" w:rsidRDefault="002C0E1B" w:rsidP="003B1EAA">
            <w:pPr>
              <w:jc w:val="center"/>
              <w:rPr>
                <w:color w:val="000000" w:themeColor="text1"/>
                <w:szCs w:val="20"/>
              </w:rPr>
            </w:pPr>
            <w:r w:rsidRPr="00EB58AC">
              <w:rPr>
                <w:color w:val="000000" w:themeColor="text1"/>
                <w:szCs w:val="20"/>
              </w:rPr>
              <w:t>100</w:t>
            </w:r>
          </w:p>
        </w:tc>
      </w:tr>
      <w:tr w:rsidR="002C0E1B" w:rsidRPr="00EB58AC" w14:paraId="44CFDE89" w14:textId="77777777" w:rsidTr="00EB58AC">
        <w:trPr>
          <w:jc w:val="center"/>
        </w:trPr>
        <w:tc>
          <w:tcPr>
            <w:tcW w:w="709" w:type="dxa"/>
            <w:vAlign w:val="center"/>
            <w:hideMark/>
          </w:tcPr>
          <w:p w14:paraId="7D236EF3" w14:textId="77777777" w:rsidR="002C0E1B" w:rsidRPr="00EB58AC" w:rsidRDefault="002C0E1B" w:rsidP="003B1EAA">
            <w:pPr>
              <w:jc w:val="center"/>
              <w:rPr>
                <w:color w:val="000000" w:themeColor="text1"/>
                <w:szCs w:val="20"/>
              </w:rPr>
            </w:pPr>
            <w:r w:rsidRPr="00EB58AC">
              <w:rPr>
                <w:color w:val="000000" w:themeColor="text1"/>
                <w:szCs w:val="20"/>
              </w:rPr>
              <w:t>CC</w:t>
            </w:r>
          </w:p>
        </w:tc>
        <w:tc>
          <w:tcPr>
            <w:tcW w:w="1001" w:type="dxa"/>
            <w:vAlign w:val="center"/>
          </w:tcPr>
          <w:p w14:paraId="53646A85" w14:textId="77777777" w:rsidR="002C0E1B" w:rsidRPr="00EB58AC" w:rsidRDefault="002C0E1B" w:rsidP="003B1EAA">
            <w:pPr>
              <w:jc w:val="center"/>
              <w:rPr>
                <w:color w:val="000000" w:themeColor="text1"/>
                <w:szCs w:val="20"/>
              </w:rPr>
            </w:pPr>
            <w:r w:rsidRPr="00EB58AC">
              <w:rPr>
                <w:color w:val="000000" w:themeColor="text1"/>
                <w:szCs w:val="20"/>
              </w:rPr>
              <w:t>35</w:t>
            </w:r>
          </w:p>
        </w:tc>
        <w:tc>
          <w:tcPr>
            <w:tcW w:w="993" w:type="dxa"/>
            <w:vAlign w:val="center"/>
          </w:tcPr>
          <w:p w14:paraId="4E574F1A" w14:textId="77777777" w:rsidR="002C0E1B" w:rsidRPr="00EB58AC" w:rsidRDefault="002C0E1B" w:rsidP="003B1EAA">
            <w:pPr>
              <w:jc w:val="center"/>
              <w:rPr>
                <w:color w:val="000000" w:themeColor="text1"/>
                <w:szCs w:val="20"/>
              </w:rPr>
            </w:pPr>
            <w:r w:rsidRPr="00EB58AC">
              <w:rPr>
                <w:color w:val="000000" w:themeColor="text1"/>
                <w:szCs w:val="20"/>
              </w:rPr>
              <w:t>28,57</w:t>
            </w:r>
          </w:p>
        </w:tc>
        <w:tc>
          <w:tcPr>
            <w:tcW w:w="992" w:type="dxa"/>
            <w:vAlign w:val="center"/>
          </w:tcPr>
          <w:p w14:paraId="068269AC" w14:textId="77777777" w:rsidR="002C0E1B" w:rsidRPr="00EB58AC" w:rsidRDefault="002C0E1B" w:rsidP="003B1EAA">
            <w:pPr>
              <w:jc w:val="center"/>
              <w:rPr>
                <w:color w:val="000000" w:themeColor="text1"/>
                <w:szCs w:val="20"/>
              </w:rPr>
            </w:pPr>
            <w:r w:rsidRPr="00EB58AC">
              <w:rPr>
                <w:color w:val="000000" w:themeColor="text1"/>
                <w:szCs w:val="20"/>
              </w:rPr>
              <w:t>45,71</w:t>
            </w:r>
          </w:p>
        </w:tc>
        <w:tc>
          <w:tcPr>
            <w:tcW w:w="992" w:type="dxa"/>
            <w:vAlign w:val="center"/>
          </w:tcPr>
          <w:p w14:paraId="541C9B10" w14:textId="77777777" w:rsidR="002C0E1B" w:rsidRPr="00EB58AC" w:rsidRDefault="002C0E1B" w:rsidP="003B1EAA">
            <w:pPr>
              <w:jc w:val="center"/>
              <w:rPr>
                <w:color w:val="000000" w:themeColor="text1"/>
                <w:szCs w:val="20"/>
              </w:rPr>
            </w:pPr>
            <w:r w:rsidRPr="00EB58AC">
              <w:rPr>
                <w:color w:val="000000" w:themeColor="text1"/>
                <w:szCs w:val="20"/>
              </w:rPr>
              <w:t>62,85</w:t>
            </w:r>
          </w:p>
        </w:tc>
        <w:tc>
          <w:tcPr>
            <w:tcW w:w="992" w:type="dxa"/>
            <w:vAlign w:val="center"/>
          </w:tcPr>
          <w:p w14:paraId="68759BC3" w14:textId="77777777" w:rsidR="002C0E1B" w:rsidRPr="00EB58AC" w:rsidRDefault="002C0E1B" w:rsidP="003B1EAA">
            <w:pPr>
              <w:jc w:val="center"/>
              <w:rPr>
                <w:color w:val="000000" w:themeColor="text1"/>
                <w:szCs w:val="20"/>
              </w:rPr>
            </w:pPr>
            <w:r w:rsidRPr="00EB58AC">
              <w:rPr>
                <w:color w:val="000000" w:themeColor="text1"/>
                <w:szCs w:val="20"/>
              </w:rPr>
              <w:t>88,57</w:t>
            </w:r>
          </w:p>
        </w:tc>
        <w:tc>
          <w:tcPr>
            <w:tcW w:w="993" w:type="dxa"/>
            <w:vAlign w:val="center"/>
          </w:tcPr>
          <w:p w14:paraId="02E577B6" w14:textId="77777777" w:rsidR="002C0E1B" w:rsidRPr="00EB58AC" w:rsidRDefault="002C0E1B" w:rsidP="003B1EAA">
            <w:pPr>
              <w:jc w:val="center"/>
              <w:rPr>
                <w:color w:val="000000" w:themeColor="text1"/>
                <w:szCs w:val="20"/>
              </w:rPr>
            </w:pPr>
            <w:r w:rsidRPr="00EB58AC">
              <w:rPr>
                <w:color w:val="000000" w:themeColor="text1"/>
                <w:szCs w:val="20"/>
              </w:rPr>
              <w:t>97,12</w:t>
            </w:r>
          </w:p>
        </w:tc>
        <w:tc>
          <w:tcPr>
            <w:tcW w:w="992" w:type="dxa"/>
            <w:vAlign w:val="center"/>
          </w:tcPr>
          <w:p w14:paraId="382E3BDD" w14:textId="77777777" w:rsidR="002C0E1B" w:rsidRPr="00EB58AC" w:rsidRDefault="002C0E1B" w:rsidP="003B1EAA">
            <w:pPr>
              <w:jc w:val="center"/>
              <w:rPr>
                <w:color w:val="000000" w:themeColor="text1"/>
                <w:szCs w:val="20"/>
              </w:rPr>
            </w:pPr>
            <w:r w:rsidRPr="00EB58AC">
              <w:rPr>
                <w:color w:val="000000" w:themeColor="text1"/>
                <w:szCs w:val="20"/>
              </w:rPr>
              <w:t>100</w:t>
            </w:r>
          </w:p>
        </w:tc>
        <w:tc>
          <w:tcPr>
            <w:tcW w:w="992" w:type="dxa"/>
            <w:vAlign w:val="center"/>
          </w:tcPr>
          <w:p w14:paraId="60BB5059" w14:textId="77777777" w:rsidR="002C0E1B" w:rsidRPr="00EB58AC" w:rsidRDefault="002C0E1B" w:rsidP="003B1EAA">
            <w:pPr>
              <w:jc w:val="center"/>
              <w:rPr>
                <w:color w:val="000000" w:themeColor="text1"/>
                <w:szCs w:val="20"/>
              </w:rPr>
            </w:pPr>
            <w:r w:rsidRPr="00EB58AC">
              <w:rPr>
                <w:color w:val="000000" w:themeColor="text1"/>
                <w:szCs w:val="20"/>
              </w:rPr>
              <w:t>100</w:t>
            </w:r>
          </w:p>
        </w:tc>
        <w:tc>
          <w:tcPr>
            <w:tcW w:w="851" w:type="dxa"/>
            <w:vAlign w:val="center"/>
          </w:tcPr>
          <w:p w14:paraId="0D06469E" w14:textId="77777777" w:rsidR="002C0E1B" w:rsidRPr="00EB58AC" w:rsidRDefault="002C0E1B" w:rsidP="003B1EAA">
            <w:pPr>
              <w:jc w:val="center"/>
              <w:rPr>
                <w:color w:val="000000" w:themeColor="text1"/>
                <w:szCs w:val="20"/>
              </w:rPr>
            </w:pPr>
            <w:r w:rsidRPr="00EB58AC">
              <w:rPr>
                <w:color w:val="000000" w:themeColor="text1"/>
                <w:szCs w:val="20"/>
              </w:rPr>
              <w:t>100</w:t>
            </w:r>
          </w:p>
        </w:tc>
      </w:tr>
    </w:tbl>
    <w:p w14:paraId="7598FE04" w14:textId="77777777" w:rsidR="002C0E1B" w:rsidRPr="0084614A" w:rsidRDefault="002C0E1B" w:rsidP="002C0E1B">
      <w:pPr>
        <w:ind w:firstLine="284"/>
        <w:jc w:val="both"/>
        <w:rPr>
          <w:color w:val="0070C0"/>
          <w:szCs w:val="22"/>
        </w:rPr>
      </w:pPr>
    </w:p>
    <w:p w14:paraId="0955CDE7" w14:textId="77777777" w:rsidR="002C0E1B" w:rsidRDefault="002C0E1B" w:rsidP="007216EC">
      <w:pPr>
        <w:jc w:val="center"/>
        <w:rPr>
          <w:szCs w:val="22"/>
        </w:rPr>
      </w:pPr>
      <w:r w:rsidRPr="0084614A">
        <w:rPr>
          <w:noProof/>
          <w:szCs w:val="22"/>
          <w:lang w:val="en-MY" w:eastAsia="en-MY"/>
        </w:rPr>
        <w:lastRenderedPageBreak/>
        <w:drawing>
          <wp:inline distT="0" distB="0" distL="0" distR="0" wp14:anchorId="73AD7FC1" wp14:editId="620AF1CB">
            <wp:extent cx="4519930" cy="3009900"/>
            <wp:effectExtent l="0" t="0" r="1397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C8C081" w14:textId="77777777" w:rsidR="002C0E1B" w:rsidRPr="000F6032" w:rsidRDefault="002C0E1B" w:rsidP="007216EC">
      <w:pPr>
        <w:spacing w:before="60"/>
        <w:jc w:val="center"/>
        <w:rPr>
          <w:b/>
          <w:sz w:val="16"/>
        </w:rPr>
      </w:pPr>
      <w:bookmarkStart w:id="4" w:name="_Toc6412623"/>
      <w:r w:rsidRPr="000F6032">
        <w:rPr>
          <w:b/>
          <w:sz w:val="16"/>
        </w:rPr>
        <w:t xml:space="preserve">Fig. 4 - </w:t>
      </w:r>
      <w:bookmarkEnd w:id="4"/>
      <w:r w:rsidRPr="000F6032">
        <w:rPr>
          <w:b/>
          <w:sz w:val="16"/>
        </w:rPr>
        <w:t>fa</w:t>
      </w:r>
      <w:r w:rsidRPr="000F6032">
        <w:rPr>
          <w:b/>
          <w:sz w:val="16"/>
        </w:rPr>
        <w:sym w:font="Symbol" w:char="F0AF"/>
      </w:r>
      <w:r w:rsidRPr="000F6032">
        <w:rPr>
          <w:b/>
          <w:sz w:val="16"/>
        </w:rPr>
        <w:t xml:space="preserve"> frequency of backward convergence of learning results</w:t>
      </w:r>
    </w:p>
    <w:p w14:paraId="1F8DE770" w14:textId="77777777" w:rsidR="002C0E1B" w:rsidRPr="002C0E1B" w:rsidRDefault="002C0E1B" w:rsidP="002C0E1B">
      <w:pPr>
        <w:ind w:firstLine="284"/>
        <w:jc w:val="center"/>
        <w:rPr>
          <w:b/>
        </w:rPr>
      </w:pPr>
    </w:p>
    <w:p w14:paraId="21F46D9C" w14:textId="77777777" w:rsidR="002C0E1B" w:rsidRDefault="002C0E1B" w:rsidP="000F6032">
      <w:pPr>
        <w:ind w:firstLine="357"/>
        <w:jc w:val="both"/>
        <w:rPr>
          <w:szCs w:val="22"/>
        </w:rPr>
      </w:pPr>
      <w:r w:rsidRPr="003B4A9B">
        <w:rPr>
          <w:i/>
          <w:szCs w:val="22"/>
        </w:rPr>
        <w:t>Comment:</w:t>
      </w:r>
      <w:r w:rsidRPr="0084614A">
        <w:rPr>
          <w:szCs w:val="22"/>
        </w:rPr>
        <w:t xml:space="preserve"> Table of analysis results (</w:t>
      </w:r>
      <w:r w:rsidRPr="003B4A9B">
        <w:rPr>
          <w:szCs w:val="22"/>
        </w:rPr>
        <w:t>Table 6)</w:t>
      </w:r>
      <w:r w:rsidRPr="0084614A">
        <w:rPr>
          <w:szCs w:val="22"/>
        </w:rPr>
        <w:t xml:space="preserve"> shows that the percentage of students achieving good and excellent grades in the EC class (reaching 91.67%) is higher than that of the CC class (reaching 62.86%). From the graph of the backwar</w:t>
      </w:r>
      <w:r>
        <w:rPr>
          <w:szCs w:val="22"/>
        </w:rPr>
        <w:t xml:space="preserve">d convergence frequency </w:t>
      </w:r>
      <w:r w:rsidRPr="003B4A9B">
        <w:rPr>
          <w:szCs w:val="22"/>
        </w:rPr>
        <w:t>(Fig. 4),</w:t>
      </w:r>
      <w:r w:rsidRPr="0084614A">
        <w:rPr>
          <w:szCs w:val="22"/>
        </w:rPr>
        <w:t xml:space="preserve"> the value of the line shows the frequency of backward convergence of EC class upper layer compared to the control layer of CC class, showing that the results of the overall scores of the EC class is higher than CC class.</w:t>
      </w:r>
    </w:p>
    <w:p w14:paraId="391DBCCF" w14:textId="77777777" w:rsidR="000F6032" w:rsidRPr="0084614A" w:rsidRDefault="000F6032" w:rsidP="000F6032">
      <w:pPr>
        <w:ind w:firstLine="357"/>
        <w:jc w:val="both"/>
        <w:rPr>
          <w:szCs w:val="22"/>
        </w:rPr>
      </w:pPr>
    </w:p>
    <w:p w14:paraId="44E12173" w14:textId="77777777" w:rsidR="002C0E1B" w:rsidRPr="0084614A" w:rsidRDefault="002C0E1B" w:rsidP="000F6032">
      <w:pPr>
        <w:ind w:firstLine="357"/>
        <w:jc w:val="both"/>
        <w:rPr>
          <w:szCs w:val="22"/>
        </w:rPr>
      </w:pPr>
      <w:r w:rsidRPr="0084614A">
        <w:rPr>
          <w:szCs w:val="22"/>
        </w:rPr>
        <w:t>- Analysis of statistical characteristic parameters:</w:t>
      </w:r>
    </w:p>
    <w:p w14:paraId="0BCD00DD" w14:textId="77777777" w:rsidR="002C0E1B" w:rsidRDefault="002C0E1B" w:rsidP="000F6032">
      <w:pPr>
        <w:ind w:firstLine="357"/>
        <w:jc w:val="both"/>
        <w:rPr>
          <w:szCs w:val="22"/>
        </w:rPr>
      </w:pPr>
      <w:r w:rsidRPr="0084614A">
        <w:rPr>
          <w:szCs w:val="22"/>
        </w:rPr>
        <w:t xml:space="preserve">From the results of the EC classes and the CC class </w:t>
      </w:r>
      <w:r w:rsidRPr="003B4A9B">
        <w:rPr>
          <w:szCs w:val="22"/>
        </w:rPr>
        <w:t>(Table 5),</w:t>
      </w:r>
      <w:r w:rsidRPr="0084614A">
        <w:rPr>
          <w:szCs w:val="22"/>
        </w:rPr>
        <w:t xml:space="preserve"> the analysis results with t-Test Data Analysis tool in </w:t>
      </w:r>
      <w:r w:rsidR="00C410B1">
        <w:rPr>
          <w:szCs w:val="22"/>
        </w:rPr>
        <w:t xml:space="preserve">MS </w:t>
      </w:r>
      <w:r w:rsidRPr="0084614A">
        <w:rPr>
          <w:szCs w:val="22"/>
        </w:rPr>
        <w:t>Excel are as follows</w:t>
      </w:r>
      <w:r>
        <w:rPr>
          <w:szCs w:val="22"/>
        </w:rPr>
        <w:t>:</w:t>
      </w:r>
    </w:p>
    <w:p w14:paraId="52A6C7B8" w14:textId="77777777" w:rsidR="002C0E1B" w:rsidRPr="007B2767" w:rsidRDefault="002C0E1B" w:rsidP="00D86AFC">
      <w:pPr>
        <w:spacing w:before="240" w:after="80" w:line="200" w:lineRule="exact"/>
        <w:jc w:val="center"/>
        <w:rPr>
          <w:b/>
          <w:szCs w:val="22"/>
        </w:rPr>
      </w:pPr>
      <w:r w:rsidRPr="007B2767">
        <w:rPr>
          <w:b/>
          <w:szCs w:val="22"/>
        </w:rPr>
        <w:t xml:space="preserve">Table </w:t>
      </w:r>
      <w:r>
        <w:rPr>
          <w:b/>
          <w:szCs w:val="22"/>
        </w:rPr>
        <w:t>7</w:t>
      </w:r>
      <w:r w:rsidRPr="007B2767">
        <w:rPr>
          <w:b/>
          <w:szCs w:val="22"/>
        </w:rPr>
        <w:t xml:space="preserve"> - Analysis t-</w:t>
      </w:r>
      <w:r w:rsidR="00132A27" w:rsidRPr="007B2767">
        <w:rPr>
          <w:b/>
          <w:szCs w:val="22"/>
        </w:rPr>
        <w:t xml:space="preserve">Test </w:t>
      </w:r>
      <w:r w:rsidRPr="007B2767">
        <w:rPr>
          <w:b/>
          <w:szCs w:val="22"/>
        </w:rPr>
        <w:t>of statistical characteristic parameters</w:t>
      </w:r>
    </w:p>
    <w:tbl>
      <w:tblPr>
        <w:tblW w:w="0" w:type="auto"/>
        <w:jc w:val="center"/>
        <w:tblLook w:val="04A0" w:firstRow="1" w:lastRow="0" w:firstColumn="1" w:lastColumn="0" w:noHBand="0" w:noVBand="1"/>
      </w:tblPr>
      <w:tblGrid>
        <w:gridCol w:w="2293"/>
        <w:gridCol w:w="966"/>
        <w:gridCol w:w="2293"/>
        <w:gridCol w:w="966"/>
      </w:tblGrid>
      <w:tr w:rsidR="002C0E1B" w:rsidRPr="00C120CE" w14:paraId="13E014D0" w14:textId="77777777" w:rsidTr="003B1EAA">
        <w:trPr>
          <w:trHeight w:val="315"/>
          <w:jc w:val="center"/>
        </w:trPr>
        <w:tc>
          <w:tcPr>
            <w:tcW w:w="0" w:type="auto"/>
            <w:tcBorders>
              <w:top w:val="single" w:sz="8" w:space="0" w:color="auto"/>
              <w:left w:val="nil"/>
              <w:bottom w:val="single" w:sz="4" w:space="0" w:color="auto"/>
              <w:right w:val="nil"/>
            </w:tcBorders>
            <w:shd w:val="clear" w:color="auto" w:fill="auto"/>
            <w:noWrap/>
            <w:vAlign w:val="bottom"/>
            <w:hideMark/>
          </w:tcPr>
          <w:p w14:paraId="6348C8D7" w14:textId="77777777" w:rsidR="002C0E1B" w:rsidRPr="00C120CE" w:rsidRDefault="002C0E1B" w:rsidP="00C120CE">
            <w:pPr>
              <w:spacing w:after="80" w:line="200" w:lineRule="exact"/>
              <w:jc w:val="both"/>
              <w:rPr>
                <w:b/>
                <w:i/>
                <w:iCs/>
                <w:szCs w:val="20"/>
              </w:rPr>
            </w:pPr>
            <w:r w:rsidRPr="00C120CE">
              <w:rPr>
                <w:b/>
                <w:i/>
                <w:szCs w:val="20"/>
              </w:rPr>
              <w:t>Parameter</w:t>
            </w:r>
          </w:p>
        </w:tc>
        <w:tc>
          <w:tcPr>
            <w:tcW w:w="0" w:type="auto"/>
            <w:tcBorders>
              <w:top w:val="single" w:sz="8" w:space="0" w:color="auto"/>
              <w:left w:val="nil"/>
              <w:bottom w:val="single" w:sz="4" w:space="0" w:color="auto"/>
              <w:right w:val="nil"/>
            </w:tcBorders>
            <w:shd w:val="clear" w:color="auto" w:fill="auto"/>
            <w:noWrap/>
            <w:vAlign w:val="bottom"/>
            <w:hideMark/>
          </w:tcPr>
          <w:p w14:paraId="7A4DC8A1" w14:textId="77777777" w:rsidR="002C0E1B" w:rsidRPr="00C120CE" w:rsidRDefault="002C0E1B" w:rsidP="00C120CE">
            <w:pPr>
              <w:spacing w:after="80" w:line="200" w:lineRule="exact"/>
              <w:jc w:val="both"/>
              <w:rPr>
                <w:b/>
                <w:i/>
                <w:iCs/>
                <w:szCs w:val="20"/>
              </w:rPr>
            </w:pPr>
            <w:r w:rsidRPr="00C120CE">
              <w:rPr>
                <w:b/>
                <w:i/>
                <w:iCs/>
                <w:szCs w:val="20"/>
              </w:rPr>
              <w:t>EC </w:t>
            </w:r>
          </w:p>
        </w:tc>
        <w:tc>
          <w:tcPr>
            <w:tcW w:w="0" w:type="auto"/>
            <w:tcBorders>
              <w:top w:val="single" w:sz="8" w:space="0" w:color="auto"/>
              <w:left w:val="nil"/>
              <w:bottom w:val="single" w:sz="4" w:space="0" w:color="auto"/>
              <w:right w:val="nil"/>
            </w:tcBorders>
            <w:shd w:val="clear" w:color="auto" w:fill="auto"/>
            <w:noWrap/>
            <w:vAlign w:val="bottom"/>
            <w:hideMark/>
          </w:tcPr>
          <w:p w14:paraId="1516B13E" w14:textId="77777777" w:rsidR="002C0E1B" w:rsidRPr="00C120CE" w:rsidRDefault="002C0E1B" w:rsidP="00C120CE">
            <w:pPr>
              <w:spacing w:after="80" w:line="200" w:lineRule="exact"/>
              <w:jc w:val="both"/>
              <w:rPr>
                <w:b/>
                <w:i/>
                <w:iCs/>
                <w:szCs w:val="20"/>
              </w:rPr>
            </w:pPr>
          </w:p>
        </w:tc>
        <w:tc>
          <w:tcPr>
            <w:tcW w:w="0" w:type="auto"/>
            <w:tcBorders>
              <w:top w:val="single" w:sz="8" w:space="0" w:color="auto"/>
              <w:left w:val="nil"/>
              <w:bottom w:val="single" w:sz="4" w:space="0" w:color="auto"/>
              <w:right w:val="nil"/>
            </w:tcBorders>
            <w:shd w:val="clear" w:color="auto" w:fill="auto"/>
            <w:noWrap/>
            <w:vAlign w:val="bottom"/>
            <w:hideMark/>
          </w:tcPr>
          <w:p w14:paraId="229A489B" w14:textId="77777777" w:rsidR="002C0E1B" w:rsidRPr="00C120CE" w:rsidRDefault="002C0E1B" w:rsidP="00C120CE">
            <w:pPr>
              <w:spacing w:after="80" w:line="200" w:lineRule="exact"/>
              <w:jc w:val="both"/>
              <w:rPr>
                <w:b/>
                <w:i/>
                <w:iCs/>
                <w:szCs w:val="20"/>
              </w:rPr>
            </w:pPr>
            <w:r w:rsidRPr="00C120CE">
              <w:rPr>
                <w:b/>
                <w:i/>
                <w:iCs/>
                <w:szCs w:val="20"/>
              </w:rPr>
              <w:t>CC</w:t>
            </w:r>
          </w:p>
        </w:tc>
      </w:tr>
      <w:tr w:rsidR="002C0E1B" w:rsidRPr="00C120CE" w14:paraId="7E3F362C" w14:textId="77777777" w:rsidTr="003B1EAA">
        <w:trPr>
          <w:trHeight w:val="330"/>
          <w:jc w:val="center"/>
        </w:trPr>
        <w:tc>
          <w:tcPr>
            <w:tcW w:w="0" w:type="auto"/>
            <w:tcBorders>
              <w:top w:val="nil"/>
              <w:left w:val="nil"/>
              <w:bottom w:val="nil"/>
              <w:right w:val="nil"/>
            </w:tcBorders>
            <w:shd w:val="clear" w:color="auto" w:fill="auto"/>
            <w:noWrap/>
            <w:vAlign w:val="bottom"/>
            <w:hideMark/>
          </w:tcPr>
          <w:p w14:paraId="168B3360" w14:textId="77777777" w:rsidR="002C0E1B" w:rsidRPr="00C120CE" w:rsidRDefault="002C0E1B" w:rsidP="00C120CE">
            <w:pPr>
              <w:spacing w:after="80" w:line="200" w:lineRule="exact"/>
              <w:jc w:val="both"/>
              <w:rPr>
                <w:szCs w:val="20"/>
              </w:rPr>
            </w:pPr>
            <w:r w:rsidRPr="00C120CE">
              <w:rPr>
                <w:szCs w:val="20"/>
              </w:rPr>
              <w:t>Mean</w:t>
            </w:r>
          </w:p>
        </w:tc>
        <w:tc>
          <w:tcPr>
            <w:tcW w:w="0" w:type="auto"/>
            <w:tcBorders>
              <w:top w:val="nil"/>
              <w:left w:val="nil"/>
              <w:bottom w:val="nil"/>
              <w:right w:val="nil"/>
            </w:tcBorders>
            <w:shd w:val="clear" w:color="auto" w:fill="auto"/>
            <w:noWrap/>
            <w:vAlign w:val="bottom"/>
            <w:hideMark/>
          </w:tcPr>
          <w:p w14:paraId="753EAC1C" w14:textId="77777777" w:rsidR="002C0E1B" w:rsidRPr="00C120CE" w:rsidRDefault="002C0E1B" w:rsidP="00C120CE">
            <w:pPr>
              <w:spacing w:after="80" w:line="200" w:lineRule="exact"/>
              <w:jc w:val="both"/>
              <w:rPr>
                <w:szCs w:val="20"/>
              </w:rPr>
            </w:pPr>
            <w:r w:rsidRPr="00C120CE">
              <w:rPr>
                <w:szCs w:val="20"/>
              </w:rPr>
              <w:t>8,00</w:t>
            </w:r>
          </w:p>
        </w:tc>
        <w:tc>
          <w:tcPr>
            <w:tcW w:w="0" w:type="auto"/>
            <w:tcBorders>
              <w:top w:val="nil"/>
              <w:left w:val="nil"/>
              <w:bottom w:val="nil"/>
              <w:right w:val="nil"/>
            </w:tcBorders>
            <w:shd w:val="clear" w:color="auto" w:fill="auto"/>
            <w:noWrap/>
            <w:vAlign w:val="bottom"/>
            <w:hideMark/>
          </w:tcPr>
          <w:p w14:paraId="005D9DE5" w14:textId="77777777" w:rsidR="002C0E1B" w:rsidRPr="00C120CE" w:rsidRDefault="002C0E1B" w:rsidP="00C120CE">
            <w:pPr>
              <w:spacing w:after="80" w:line="200" w:lineRule="exact"/>
              <w:jc w:val="both"/>
              <w:rPr>
                <w:szCs w:val="20"/>
              </w:rPr>
            </w:pPr>
            <w:r w:rsidRPr="00C120CE">
              <w:rPr>
                <w:szCs w:val="20"/>
              </w:rPr>
              <w:t>Mean</w:t>
            </w:r>
          </w:p>
        </w:tc>
        <w:tc>
          <w:tcPr>
            <w:tcW w:w="0" w:type="auto"/>
            <w:tcBorders>
              <w:top w:val="nil"/>
              <w:left w:val="nil"/>
              <w:bottom w:val="nil"/>
              <w:right w:val="nil"/>
            </w:tcBorders>
            <w:shd w:val="clear" w:color="auto" w:fill="auto"/>
            <w:noWrap/>
            <w:vAlign w:val="bottom"/>
            <w:hideMark/>
          </w:tcPr>
          <w:p w14:paraId="227F0713" w14:textId="77777777" w:rsidR="002C0E1B" w:rsidRPr="00C120CE" w:rsidRDefault="002C0E1B" w:rsidP="00C120CE">
            <w:pPr>
              <w:spacing w:after="80" w:line="200" w:lineRule="exact"/>
              <w:jc w:val="both"/>
              <w:rPr>
                <w:szCs w:val="20"/>
              </w:rPr>
            </w:pPr>
            <w:r w:rsidRPr="00C120CE">
              <w:rPr>
                <w:szCs w:val="20"/>
              </w:rPr>
              <w:t>7,78</w:t>
            </w:r>
          </w:p>
        </w:tc>
      </w:tr>
      <w:tr w:rsidR="002C0E1B" w:rsidRPr="00C120CE" w14:paraId="4FF91767"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5A0E2F24" w14:textId="77777777" w:rsidR="002C0E1B" w:rsidRPr="00C120CE" w:rsidRDefault="002C0E1B" w:rsidP="00C120CE">
            <w:pPr>
              <w:spacing w:after="80" w:line="200" w:lineRule="exact"/>
              <w:jc w:val="both"/>
              <w:rPr>
                <w:szCs w:val="20"/>
              </w:rPr>
            </w:pPr>
            <w:r w:rsidRPr="00C120CE">
              <w:rPr>
                <w:szCs w:val="20"/>
              </w:rPr>
              <w:t>Standard Error</w:t>
            </w:r>
          </w:p>
        </w:tc>
        <w:tc>
          <w:tcPr>
            <w:tcW w:w="0" w:type="auto"/>
            <w:tcBorders>
              <w:top w:val="nil"/>
              <w:left w:val="nil"/>
              <w:bottom w:val="nil"/>
              <w:right w:val="nil"/>
            </w:tcBorders>
            <w:shd w:val="clear" w:color="auto" w:fill="auto"/>
            <w:noWrap/>
            <w:vAlign w:val="bottom"/>
            <w:hideMark/>
          </w:tcPr>
          <w:p w14:paraId="6D336D57" w14:textId="77777777" w:rsidR="002C0E1B" w:rsidRPr="00C120CE" w:rsidRDefault="002C0E1B" w:rsidP="00C120CE">
            <w:pPr>
              <w:spacing w:after="80" w:line="200" w:lineRule="exact"/>
              <w:jc w:val="both"/>
              <w:rPr>
                <w:szCs w:val="20"/>
              </w:rPr>
            </w:pPr>
            <w:r w:rsidRPr="00C120CE">
              <w:rPr>
                <w:szCs w:val="20"/>
              </w:rPr>
              <w:t>0,159995</w:t>
            </w:r>
          </w:p>
        </w:tc>
        <w:tc>
          <w:tcPr>
            <w:tcW w:w="0" w:type="auto"/>
            <w:tcBorders>
              <w:top w:val="nil"/>
              <w:left w:val="nil"/>
              <w:bottom w:val="nil"/>
              <w:right w:val="nil"/>
            </w:tcBorders>
            <w:shd w:val="clear" w:color="auto" w:fill="auto"/>
            <w:noWrap/>
            <w:vAlign w:val="bottom"/>
            <w:hideMark/>
          </w:tcPr>
          <w:p w14:paraId="68F686B5" w14:textId="77777777" w:rsidR="002C0E1B" w:rsidRPr="00C120CE" w:rsidRDefault="002C0E1B" w:rsidP="00C120CE">
            <w:pPr>
              <w:spacing w:after="80" w:line="200" w:lineRule="exact"/>
              <w:jc w:val="both"/>
              <w:rPr>
                <w:szCs w:val="20"/>
              </w:rPr>
            </w:pPr>
            <w:r w:rsidRPr="00C120CE">
              <w:rPr>
                <w:szCs w:val="20"/>
              </w:rPr>
              <w:t>Standard Error</w:t>
            </w:r>
          </w:p>
        </w:tc>
        <w:tc>
          <w:tcPr>
            <w:tcW w:w="0" w:type="auto"/>
            <w:tcBorders>
              <w:top w:val="nil"/>
              <w:left w:val="nil"/>
              <w:bottom w:val="nil"/>
              <w:right w:val="nil"/>
            </w:tcBorders>
            <w:shd w:val="clear" w:color="auto" w:fill="auto"/>
            <w:noWrap/>
            <w:vAlign w:val="bottom"/>
            <w:hideMark/>
          </w:tcPr>
          <w:p w14:paraId="549AC15E" w14:textId="77777777" w:rsidR="002C0E1B" w:rsidRPr="00C120CE" w:rsidRDefault="002C0E1B" w:rsidP="00C120CE">
            <w:pPr>
              <w:spacing w:after="80" w:line="200" w:lineRule="exact"/>
              <w:jc w:val="both"/>
              <w:rPr>
                <w:szCs w:val="20"/>
              </w:rPr>
            </w:pPr>
            <w:r w:rsidRPr="00C120CE">
              <w:rPr>
                <w:szCs w:val="20"/>
              </w:rPr>
              <w:t>0,120074</w:t>
            </w:r>
          </w:p>
        </w:tc>
      </w:tr>
      <w:tr w:rsidR="002C0E1B" w:rsidRPr="00C120CE" w14:paraId="2CF326B0"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2203A59C" w14:textId="77777777" w:rsidR="002C0E1B" w:rsidRPr="00C120CE" w:rsidRDefault="002C0E1B" w:rsidP="00C120CE">
            <w:pPr>
              <w:spacing w:after="80" w:line="200" w:lineRule="exact"/>
              <w:jc w:val="both"/>
              <w:rPr>
                <w:szCs w:val="20"/>
              </w:rPr>
            </w:pPr>
            <w:r w:rsidRPr="00C120CE">
              <w:rPr>
                <w:szCs w:val="20"/>
              </w:rPr>
              <w:t>Median</w:t>
            </w:r>
          </w:p>
        </w:tc>
        <w:tc>
          <w:tcPr>
            <w:tcW w:w="0" w:type="auto"/>
            <w:tcBorders>
              <w:top w:val="nil"/>
              <w:left w:val="nil"/>
              <w:bottom w:val="nil"/>
              <w:right w:val="nil"/>
            </w:tcBorders>
            <w:shd w:val="clear" w:color="auto" w:fill="auto"/>
            <w:noWrap/>
            <w:vAlign w:val="bottom"/>
            <w:hideMark/>
          </w:tcPr>
          <w:p w14:paraId="00F50753" w14:textId="77777777" w:rsidR="002C0E1B" w:rsidRPr="00C120CE" w:rsidRDefault="002C0E1B" w:rsidP="00C120CE">
            <w:pPr>
              <w:spacing w:after="80" w:line="200" w:lineRule="exact"/>
              <w:jc w:val="both"/>
              <w:rPr>
                <w:szCs w:val="20"/>
              </w:rPr>
            </w:pPr>
            <w:r w:rsidRPr="00C120CE">
              <w:rPr>
                <w:szCs w:val="20"/>
              </w:rPr>
              <w:t>7</w:t>
            </w:r>
          </w:p>
        </w:tc>
        <w:tc>
          <w:tcPr>
            <w:tcW w:w="0" w:type="auto"/>
            <w:tcBorders>
              <w:top w:val="nil"/>
              <w:left w:val="nil"/>
              <w:bottom w:val="nil"/>
              <w:right w:val="nil"/>
            </w:tcBorders>
            <w:shd w:val="clear" w:color="auto" w:fill="auto"/>
            <w:noWrap/>
            <w:vAlign w:val="bottom"/>
            <w:hideMark/>
          </w:tcPr>
          <w:p w14:paraId="5326B0BA" w14:textId="77777777" w:rsidR="002C0E1B" w:rsidRPr="00C120CE" w:rsidRDefault="002C0E1B" w:rsidP="00C120CE">
            <w:pPr>
              <w:spacing w:after="80" w:line="200" w:lineRule="exact"/>
              <w:jc w:val="both"/>
              <w:rPr>
                <w:szCs w:val="20"/>
              </w:rPr>
            </w:pPr>
            <w:r w:rsidRPr="00C120CE">
              <w:rPr>
                <w:szCs w:val="20"/>
              </w:rPr>
              <w:t>Median</w:t>
            </w:r>
          </w:p>
        </w:tc>
        <w:tc>
          <w:tcPr>
            <w:tcW w:w="0" w:type="auto"/>
            <w:tcBorders>
              <w:top w:val="nil"/>
              <w:left w:val="nil"/>
              <w:bottom w:val="nil"/>
              <w:right w:val="nil"/>
            </w:tcBorders>
            <w:shd w:val="clear" w:color="auto" w:fill="auto"/>
            <w:noWrap/>
            <w:vAlign w:val="bottom"/>
            <w:hideMark/>
          </w:tcPr>
          <w:p w14:paraId="0E56A48B" w14:textId="77777777" w:rsidR="002C0E1B" w:rsidRPr="00C120CE" w:rsidRDefault="002C0E1B" w:rsidP="00C120CE">
            <w:pPr>
              <w:spacing w:after="80" w:line="200" w:lineRule="exact"/>
              <w:jc w:val="both"/>
              <w:rPr>
                <w:szCs w:val="20"/>
              </w:rPr>
            </w:pPr>
            <w:r w:rsidRPr="00C120CE">
              <w:rPr>
                <w:szCs w:val="20"/>
              </w:rPr>
              <w:t>6,7</w:t>
            </w:r>
          </w:p>
        </w:tc>
      </w:tr>
      <w:tr w:rsidR="002C0E1B" w:rsidRPr="00C120CE" w14:paraId="3057F604"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071FFEA4" w14:textId="77777777" w:rsidR="002C0E1B" w:rsidRPr="00C120CE" w:rsidRDefault="002C0E1B" w:rsidP="00C120CE">
            <w:pPr>
              <w:spacing w:after="80" w:line="200" w:lineRule="exact"/>
              <w:jc w:val="both"/>
              <w:rPr>
                <w:szCs w:val="20"/>
              </w:rPr>
            </w:pPr>
            <w:r w:rsidRPr="00C120CE">
              <w:rPr>
                <w:szCs w:val="20"/>
              </w:rPr>
              <w:t>Mode</w:t>
            </w:r>
          </w:p>
        </w:tc>
        <w:tc>
          <w:tcPr>
            <w:tcW w:w="0" w:type="auto"/>
            <w:tcBorders>
              <w:top w:val="nil"/>
              <w:left w:val="nil"/>
              <w:bottom w:val="nil"/>
              <w:right w:val="nil"/>
            </w:tcBorders>
            <w:shd w:val="clear" w:color="auto" w:fill="auto"/>
            <w:noWrap/>
            <w:vAlign w:val="bottom"/>
            <w:hideMark/>
          </w:tcPr>
          <w:p w14:paraId="71787EBD" w14:textId="77777777" w:rsidR="002C0E1B" w:rsidRPr="00C120CE" w:rsidRDefault="002C0E1B" w:rsidP="00C120CE">
            <w:pPr>
              <w:spacing w:after="80" w:line="200" w:lineRule="exact"/>
              <w:jc w:val="both"/>
              <w:rPr>
                <w:szCs w:val="20"/>
              </w:rPr>
            </w:pPr>
            <w:r w:rsidRPr="00C120CE">
              <w:rPr>
                <w:szCs w:val="20"/>
              </w:rPr>
              <w:t>7</w:t>
            </w:r>
          </w:p>
        </w:tc>
        <w:tc>
          <w:tcPr>
            <w:tcW w:w="0" w:type="auto"/>
            <w:tcBorders>
              <w:top w:val="nil"/>
              <w:left w:val="nil"/>
              <w:bottom w:val="nil"/>
              <w:right w:val="nil"/>
            </w:tcBorders>
            <w:shd w:val="clear" w:color="auto" w:fill="auto"/>
            <w:noWrap/>
            <w:vAlign w:val="bottom"/>
            <w:hideMark/>
          </w:tcPr>
          <w:p w14:paraId="36A31C76" w14:textId="77777777" w:rsidR="002C0E1B" w:rsidRPr="00C120CE" w:rsidRDefault="002C0E1B" w:rsidP="00C120CE">
            <w:pPr>
              <w:spacing w:after="80" w:line="200" w:lineRule="exact"/>
              <w:jc w:val="both"/>
              <w:rPr>
                <w:szCs w:val="20"/>
              </w:rPr>
            </w:pPr>
            <w:r w:rsidRPr="00C120CE">
              <w:rPr>
                <w:szCs w:val="20"/>
              </w:rPr>
              <w:t>Mode</w:t>
            </w:r>
          </w:p>
        </w:tc>
        <w:tc>
          <w:tcPr>
            <w:tcW w:w="0" w:type="auto"/>
            <w:tcBorders>
              <w:top w:val="nil"/>
              <w:left w:val="nil"/>
              <w:bottom w:val="nil"/>
              <w:right w:val="nil"/>
            </w:tcBorders>
            <w:shd w:val="clear" w:color="auto" w:fill="auto"/>
            <w:noWrap/>
            <w:vAlign w:val="bottom"/>
            <w:hideMark/>
          </w:tcPr>
          <w:p w14:paraId="2A87A1D3" w14:textId="77777777" w:rsidR="002C0E1B" w:rsidRPr="00C120CE" w:rsidRDefault="002C0E1B" w:rsidP="00C120CE">
            <w:pPr>
              <w:spacing w:after="80" w:line="200" w:lineRule="exact"/>
              <w:jc w:val="both"/>
              <w:rPr>
                <w:szCs w:val="20"/>
              </w:rPr>
            </w:pPr>
            <w:r w:rsidRPr="00C120CE">
              <w:rPr>
                <w:szCs w:val="20"/>
              </w:rPr>
              <w:t>6</w:t>
            </w:r>
          </w:p>
        </w:tc>
      </w:tr>
      <w:tr w:rsidR="002C0E1B" w:rsidRPr="00C120CE" w14:paraId="0B829700"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3985D38A" w14:textId="77777777" w:rsidR="002C0E1B" w:rsidRPr="00C120CE" w:rsidRDefault="002C0E1B" w:rsidP="00C120CE">
            <w:pPr>
              <w:spacing w:after="80" w:line="200" w:lineRule="exact"/>
              <w:jc w:val="both"/>
              <w:rPr>
                <w:szCs w:val="20"/>
              </w:rPr>
            </w:pPr>
            <w:r w:rsidRPr="00C120CE">
              <w:rPr>
                <w:szCs w:val="20"/>
              </w:rPr>
              <w:t>Standard Deviation</w:t>
            </w:r>
          </w:p>
        </w:tc>
        <w:tc>
          <w:tcPr>
            <w:tcW w:w="0" w:type="auto"/>
            <w:tcBorders>
              <w:top w:val="nil"/>
              <w:left w:val="nil"/>
              <w:bottom w:val="nil"/>
              <w:right w:val="nil"/>
            </w:tcBorders>
            <w:shd w:val="clear" w:color="auto" w:fill="auto"/>
            <w:noWrap/>
            <w:vAlign w:val="bottom"/>
            <w:hideMark/>
          </w:tcPr>
          <w:p w14:paraId="5E113809" w14:textId="77777777" w:rsidR="002C0E1B" w:rsidRPr="00C120CE" w:rsidRDefault="002C0E1B" w:rsidP="00C120CE">
            <w:pPr>
              <w:spacing w:after="80" w:line="200" w:lineRule="exact"/>
              <w:jc w:val="both"/>
              <w:rPr>
                <w:szCs w:val="20"/>
              </w:rPr>
            </w:pPr>
            <w:r w:rsidRPr="00C120CE">
              <w:rPr>
                <w:szCs w:val="20"/>
              </w:rPr>
              <w:t>0,647998</w:t>
            </w:r>
          </w:p>
        </w:tc>
        <w:tc>
          <w:tcPr>
            <w:tcW w:w="0" w:type="auto"/>
            <w:tcBorders>
              <w:top w:val="nil"/>
              <w:left w:val="nil"/>
              <w:bottom w:val="nil"/>
              <w:right w:val="nil"/>
            </w:tcBorders>
            <w:shd w:val="clear" w:color="auto" w:fill="auto"/>
            <w:noWrap/>
            <w:vAlign w:val="bottom"/>
            <w:hideMark/>
          </w:tcPr>
          <w:p w14:paraId="559FA87B" w14:textId="77777777" w:rsidR="002C0E1B" w:rsidRPr="00C120CE" w:rsidRDefault="002C0E1B" w:rsidP="00C120CE">
            <w:pPr>
              <w:spacing w:after="80" w:line="200" w:lineRule="exact"/>
              <w:jc w:val="both"/>
              <w:rPr>
                <w:szCs w:val="20"/>
              </w:rPr>
            </w:pPr>
            <w:r w:rsidRPr="00C120CE">
              <w:rPr>
                <w:szCs w:val="20"/>
              </w:rPr>
              <w:t>Standard Deviation</w:t>
            </w:r>
          </w:p>
        </w:tc>
        <w:tc>
          <w:tcPr>
            <w:tcW w:w="0" w:type="auto"/>
            <w:tcBorders>
              <w:top w:val="nil"/>
              <w:left w:val="nil"/>
              <w:bottom w:val="nil"/>
              <w:right w:val="nil"/>
            </w:tcBorders>
            <w:shd w:val="clear" w:color="auto" w:fill="auto"/>
            <w:noWrap/>
            <w:vAlign w:val="bottom"/>
            <w:hideMark/>
          </w:tcPr>
          <w:p w14:paraId="690F5025" w14:textId="77777777" w:rsidR="002C0E1B" w:rsidRPr="00C120CE" w:rsidRDefault="002C0E1B" w:rsidP="00C120CE">
            <w:pPr>
              <w:spacing w:after="80" w:line="200" w:lineRule="exact"/>
              <w:jc w:val="both"/>
              <w:rPr>
                <w:szCs w:val="20"/>
              </w:rPr>
            </w:pPr>
            <w:r w:rsidRPr="00C120CE">
              <w:rPr>
                <w:szCs w:val="20"/>
              </w:rPr>
              <w:t>0,366022</w:t>
            </w:r>
          </w:p>
        </w:tc>
      </w:tr>
      <w:tr w:rsidR="002C0E1B" w:rsidRPr="00C120CE" w14:paraId="15FAC44E"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2BE7A2A2" w14:textId="77777777" w:rsidR="002C0E1B" w:rsidRPr="00C120CE" w:rsidRDefault="002C0E1B" w:rsidP="00C120CE">
            <w:pPr>
              <w:spacing w:after="80" w:line="200" w:lineRule="exact"/>
              <w:jc w:val="both"/>
              <w:rPr>
                <w:szCs w:val="20"/>
              </w:rPr>
            </w:pPr>
            <w:r w:rsidRPr="00C120CE">
              <w:rPr>
                <w:szCs w:val="20"/>
              </w:rPr>
              <w:t>Sample Variance</w:t>
            </w:r>
          </w:p>
        </w:tc>
        <w:tc>
          <w:tcPr>
            <w:tcW w:w="0" w:type="auto"/>
            <w:tcBorders>
              <w:top w:val="nil"/>
              <w:left w:val="nil"/>
              <w:bottom w:val="nil"/>
              <w:right w:val="nil"/>
            </w:tcBorders>
            <w:shd w:val="clear" w:color="auto" w:fill="auto"/>
            <w:noWrap/>
            <w:vAlign w:val="bottom"/>
            <w:hideMark/>
          </w:tcPr>
          <w:p w14:paraId="7056ED33" w14:textId="77777777" w:rsidR="002C0E1B" w:rsidRPr="00C120CE" w:rsidRDefault="002C0E1B" w:rsidP="00C120CE">
            <w:pPr>
              <w:spacing w:after="80" w:line="200" w:lineRule="exact"/>
              <w:jc w:val="both"/>
              <w:rPr>
                <w:szCs w:val="20"/>
              </w:rPr>
            </w:pPr>
            <w:r w:rsidRPr="00C120CE">
              <w:rPr>
                <w:szCs w:val="20"/>
              </w:rPr>
              <w:t>0,5575</w:t>
            </w:r>
          </w:p>
        </w:tc>
        <w:tc>
          <w:tcPr>
            <w:tcW w:w="0" w:type="auto"/>
            <w:tcBorders>
              <w:top w:val="nil"/>
              <w:left w:val="nil"/>
              <w:bottom w:val="nil"/>
              <w:right w:val="nil"/>
            </w:tcBorders>
            <w:shd w:val="clear" w:color="auto" w:fill="auto"/>
            <w:noWrap/>
            <w:vAlign w:val="bottom"/>
            <w:hideMark/>
          </w:tcPr>
          <w:p w14:paraId="51D6C140" w14:textId="77777777" w:rsidR="002C0E1B" w:rsidRPr="00C120CE" w:rsidRDefault="002C0E1B" w:rsidP="00C120CE">
            <w:pPr>
              <w:spacing w:after="80" w:line="200" w:lineRule="exact"/>
              <w:jc w:val="both"/>
              <w:rPr>
                <w:szCs w:val="20"/>
              </w:rPr>
            </w:pPr>
            <w:r w:rsidRPr="00C120CE">
              <w:rPr>
                <w:szCs w:val="20"/>
              </w:rPr>
              <w:t>Sample Variance</w:t>
            </w:r>
          </w:p>
        </w:tc>
        <w:tc>
          <w:tcPr>
            <w:tcW w:w="0" w:type="auto"/>
            <w:tcBorders>
              <w:top w:val="nil"/>
              <w:left w:val="nil"/>
              <w:bottom w:val="nil"/>
              <w:right w:val="nil"/>
            </w:tcBorders>
            <w:shd w:val="clear" w:color="auto" w:fill="auto"/>
            <w:noWrap/>
            <w:vAlign w:val="bottom"/>
            <w:hideMark/>
          </w:tcPr>
          <w:p w14:paraId="36C09AAE" w14:textId="77777777" w:rsidR="002C0E1B" w:rsidRPr="00C120CE" w:rsidRDefault="002C0E1B" w:rsidP="00C120CE">
            <w:pPr>
              <w:spacing w:after="80" w:line="200" w:lineRule="exact"/>
              <w:jc w:val="both"/>
              <w:rPr>
                <w:szCs w:val="20"/>
              </w:rPr>
            </w:pPr>
            <w:r w:rsidRPr="00C120CE">
              <w:rPr>
                <w:szCs w:val="20"/>
              </w:rPr>
              <w:t>0,417,94</w:t>
            </w:r>
          </w:p>
        </w:tc>
      </w:tr>
      <w:tr w:rsidR="002C0E1B" w:rsidRPr="00C120CE" w14:paraId="63A4B270"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50499590" w14:textId="77777777" w:rsidR="002C0E1B" w:rsidRPr="00C120CE" w:rsidRDefault="002C0E1B" w:rsidP="00C120CE">
            <w:pPr>
              <w:spacing w:after="80" w:line="200" w:lineRule="exact"/>
              <w:jc w:val="both"/>
              <w:rPr>
                <w:szCs w:val="20"/>
              </w:rPr>
            </w:pPr>
            <w:r w:rsidRPr="00C120CE">
              <w:rPr>
                <w:szCs w:val="20"/>
              </w:rPr>
              <w:t>Kurtosis</w:t>
            </w:r>
          </w:p>
        </w:tc>
        <w:tc>
          <w:tcPr>
            <w:tcW w:w="0" w:type="auto"/>
            <w:tcBorders>
              <w:top w:val="nil"/>
              <w:left w:val="nil"/>
              <w:bottom w:val="nil"/>
              <w:right w:val="nil"/>
            </w:tcBorders>
            <w:shd w:val="clear" w:color="auto" w:fill="auto"/>
            <w:noWrap/>
            <w:vAlign w:val="bottom"/>
            <w:hideMark/>
          </w:tcPr>
          <w:p w14:paraId="31FB9C1E" w14:textId="77777777" w:rsidR="002C0E1B" w:rsidRPr="00C120CE" w:rsidRDefault="002C0E1B" w:rsidP="00C120CE">
            <w:pPr>
              <w:spacing w:after="80" w:line="200" w:lineRule="exact"/>
              <w:jc w:val="both"/>
              <w:rPr>
                <w:szCs w:val="20"/>
              </w:rPr>
            </w:pPr>
            <w:r w:rsidRPr="00C120CE">
              <w:rPr>
                <w:szCs w:val="20"/>
              </w:rPr>
              <w:t>0,543341</w:t>
            </w:r>
          </w:p>
        </w:tc>
        <w:tc>
          <w:tcPr>
            <w:tcW w:w="0" w:type="auto"/>
            <w:tcBorders>
              <w:top w:val="nil"/>
              <w:left w:val="nil"/>
              <w:bottom w:val="nil"/>
              <w:right w:val="nil"/>
            </w:tcBorders>
            <w:shd w:val="clear" w:color="auto" w:fill="auto"/>
            <w:noWrap/>
            <w:vAlign w:val="bottom"/>
            <w:hideMark/>
          </w:tcPr>
          <w:p w14:paraId="1CA0E678" w14:textId="77777777" w:rsidR="002C0E1B" w:rsidRPr="00C120CE" w:rsidRDefault="002C0E1B" w:rsidP="00C120CE">
            <w:pPr>
              <w:spacing w:after="80" w:line="200" w:lineRule="exact"/>
              <w:jc w:val="both"/>
              <w:rPr>
                <w:szCs w:val="20"/>
              </w:rPr>
            </w:pPr>
            <w:r w:rsidRPr="00C120CE">
              <w:rPr>
                <w:szCs w:val="20"/>
              </w:rPr>
              <w:t>Kurtosis</w:t>
            </w:r>
          </w:p>
        </w:tc>
        <w:tc>
          <w:tcPr>
            <w:tcW w:w="0" w:type="auto"/>
            <w:tcBorders>
              <w:top w:val="nil"/>
              <w:left w:val="nil"/>
              <w:bottom w:val="nil"/>
              <w:right w:val="nil"/>
            </w:tcBorders>
            <w:shd w:val="clear" w:color="auto" w:fill="auto"/>
            <w:noWrap/>
            <w:vAlign w:val="bottom"/>
            <w:hideMark/>
          </w:tcPr>
          <w:p w14:paraId="63B64C94" w14:textId="77777777" w:rsidR="002C0E1B" w:rsidRPr="00C120CE" w:rsidRDefault="002C0E1B" w:rsidP="00C120CE">
            <w:pPr>
              <w:spacing w:after="80" w:line="200" w:lineRule="exact"/>
              <w:jc w:val="both"/>
              <w:rPr>
                <w:szCs w:val="20"/>
              </w:rPr>
            </w:pPr>
            <w:r w:rsidRPr="00C120CE">
              <w:rPr>
                <w:szCs w:val="20"/>
              </w:rPr>
              <w:t>0,495145</w:t>
            </w:r>
          </w:p>
        </w:tc>
      </w:tr>
      <w:tr w:rsidR="002C0E1B" w:rsidRPr="00C120CE" w14:paraId="125F0A7B"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405E6960" w14:textId="77777777" w:rsidR="002C0E1B" w:rsidRPr="00C120CE" w:rsidRDefault="002C0E1B" w:rsidP="00C120CE">
            <w:pPr>
              <w:spacing w:after="80" w:line="200" w:lineRule="exact"/>
              <w:jc w:val="both"/>
              <w:rPr>
                <w:szCs w:val="20"/>
              </w:rPr>
            </w:pPr>
            <w:r w:rsidRPr="00C120CE">
              <w:rPr>
                <w:szCs w:val="20"/>
              </w:rPr>
              <w:t>Skewness</w:t>
            </w:r>
          </w:p>
        </w:tc>
        <w:tc>
          <w:tcPr>
            <w:tcW w:w="0" w:type="auto"/>
            <w:tcBorders>
              <w:top w:val="nil"/>
              <w:left w:val="nil"/>
              <w:bottom w:val="nil"/>
              <w:right w:val="nil"/>
            </w:tcBorders>
            <w:shd w:val="clear" w:color="auto" w:fill="auto"/>
            <w:noWrap/>
            <w:vAlign w:val="bottom"/>
            <w:hideMark/>
          </w:tcPr>
          <w:p w14:paraId="00FD56EE" w14:textId="77777777" w:rsidR="002C0E1B" w:rsidRPr="00C120CE" w:rsidRDefault="002C0E1B" w:rsidP="00C120CE">
            <w:pPr>
              <w:spacing w:after="80" w:line="200" w:lineRule="exact"/>
              <w:jc w:val="both"/>
              <w:rPr>
                <w:szCs w:val="20"/>
              </w:rPr>
            </w:pPr>
            <w:r w:rsidRPr="00C120CE">
              <w:rPr>
                <w:szCs w:val="20"/>
              </w:rPr>
              <w:t>0,714003</w:t>
            </w:r>
          </w:p>
        </w:tc>
        <w:tc>
          <w:tcPr>
            <w:tcW w:w="0" w:type="auto"/>
            <w:tcBorders>
              <w:top w:val="nil"/>
              <w:left w:val="nil"/>
              <w:bottom w:val="nil"/>
              <w:right w:val="nil"/>
            </w:tcBorders>
            <w:shd w:val="clear" w:color="auto" w:fill="auto"/>
            <w:noWrap/>
            <w:vAlign w:val="bottom"/>
            <w:hideMark/>
          </w:tcPr>
          <w:p w14:paraId="11FC8DC7" w14:textId="77777777" w:rsidR="002C0E1B" w:rsidRPr="00C120CE" w:rsidRDefault="002C0E1B" w:rsidP="00C120CE">
            <w:pPr>
              <w:spacing w:after="80" w:line="200" w:lineRule="exact"/>
              <w:jc w:val="both"/>
              <w:rPr>
                <w:szCs w:val="20"/>
              </w:rPr>
            </w:pPr>
            <w:r w:rsidRPr="00C120CE">
              <w:rPr>
                <w:szCs w:val="20"/>
              </w:rPr>
              <w:t>Skewness</w:t>
            </w:r>
          </w:p>
        </w:tc>
        <w:tc>
          <w:tcPr>
            <w:tcW w:w="0" w:type="auto"/>
            <w:tcBorders>
              <w:top w:val="nil"/>
              <w:left w:val="nil"/>
              <w:bottom w:val="nil"/>
              <w:right w:val="nil"/>
            </w:tcBorders>
            <w:shd w:val="clear" w:color="auto" w:fill="auto"/>
            <w:noWrap/>
            <w:vAlign w:val="bottom"/>
            <w:hideMark/>
          </w:tcPr>
          <w:p w14:paraId="20D7D04E" w14:textId="77777777" w:rsidR="002C0E1B" w:rsidRPr="00C120CE" w:rsidRDefault="002C0E1B" w:rsidP="00C120CE">
            <w:pPr>
              <w:spacing w:after="80" w:line="200" w:lineRule="exact"/>
              <w:jc w:val="both"/>
              <w:rPr>
                <w:szCs w:val="20"/>
              </w:rPr>
            </w:pPr>
            <w:r w:rsidRPr="00C120CE">
              <w:rPr>
                <w:szCs w:val="20"/>
              </w:rPr>
              <w:t>0,630475</w:t>
            </w:r>
          </w:p>
        </w:tc>
      </w:tr>
      <w:tr w:rsidR="002C0E1B" w:rsidRPr="00C120CE" w14:paraId="776346D1"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6321CD1D" w14:textId="77777777" w:rsidR="002C0E1B" w:rsidRPr="00C120CE" w:rsidRDefault="002C0E1B" w:rsidP="00C120CE">
            <w:pPr>
              <w:spacing w:after="80" w:line="200" w:lineRule="exact"/>
              <w:jc w:val="both"/>
              <w:rPr>
                <w:szCs w:val="20"/>
              </w:rPr>
            </w:pPr>
            <w:r w:rsidRPr="00C120CE">
              <w:rPr>
                <w:szCs w:val="20"/>
              </w:rPr>
              <w:t>Range</w:t>
            </w:r>
          </w:p>
        </w:tc>
        <w:tc>
          <w:tcPr>
            <w:tcW w:w="0" w:type="auto"/>
            <w:tcBorders>
              <w:top w:val="nil"/>
              <w:left w:val="nil"/>
              <w:bottom w:val="nil"/>
              <w:right w:val="nil"/>
            </w:tcBorders>
            <w:shd w:val="clear" w:color="auto" w:fill="auto"/>
            <w:noWrap/>
            <w:vAlign w:val="bottom"/>
            <w:hideMark/>
          </w:tcPr>
          <w:p w14:paraId="22C6AB1D" w14:textId="77777777" w:rsidR="002C0E1B" w:rsidRPr="00C120CE" w:rsidRDefault="002C0E1B" w:rsidP="00C120CE">
            <w:pPr>
              <w:spacing w:after="80" w:line="200" w:lineRule="exact"/>
              <w:jc w:val="both"/>
              <w:rPr>
                <w:szCs w:val="20"/>
              </w:rPr>
            </w:pPr>
            <w:r w:rsidRPr="00C120CE">
              <w:rPr>
                <w:szCs w:val="20"/>
              </w:rPr>
              <w:t>36</w:t>
            </w:r>
          </w:p>
        </w:tc>
        <w:tc>
          <w:tcPr>
            <w:tcW w:w="0" w:type="auto"/>
            <w:tcBorders>
              <w:top w:val="nil"/>
              <w:left w:val="nil"/>
              <w:bottom w:val="nil"/>
              <w:right w:val="nil"/>
            </w:tcBorders>
            <w:shd w:val="clear" w:color="auto" w:fill="auto"/>
            <w:noWrap/>
            <w:vAlign w:val="bottom"/>
            <w:hideMark/>
          </w:tcPr>
          <w:p w14:paraId="3A9F43F6" w14:textId="77777777" w:rsidR="002C0E1B" w:rsidRPr="00C120CE" w:rsidRDefault="002C0E1B" w:rsidP="00C120CE">
            <w:pPr>
              <w:spacing w:after="80" w:line="200" w:lineRule="exact"/>
              <w:jc w:val="both"/>
              <w:rPr>
                <w:szCs w:val="20"/>
              </w:rPr>
            </w:pPr>
            <w:r w:rsidRPr="00C120CE">
              <w:rPr>
                <w:szCs w:val="20"/>
              </w:rPr>
              <w:t>Range</w:t>
            </w:r>
          </w:p>
        </w:tc>
        <w:tc>
          <w:tcPr>
            <w:tcW w:w="0" w:type="auto"/>
            <w:tcBorders>
              <w:top w:val="nil"/>
              <w:left w:val="nil"/>
              <w:bottom w:val="nil"/>
              <w:right w:val="nil"/>
            </w:tcBorders>
            <w:shd w:val="clear" w:color="auto" w:fill="auto"/>
            <w:noWrap/>
            <w:vAlign w:val="bottom"/>
            <w:hideMark/>
          </w:tcPr>
          <w:p w14:paraId="0AFF18B3" w14:textId="77777777" w:rsidR="002C0E1B" w:rsidRPr="00C120CE" w:rsidRDefault="002C0E1B" w:rsidP="00C120CE">
            <w:pPr>
              <w:spacing w:after="80" w:line="200" w:lineRule="exact"/>
              <w:jc w:val="both"/>
              <w:rPr>
                <w:szCs w:val="20"/>
              </w:rPr>
            </w:pPr>
            <w:r w:rsidRPr="00C120CE">
              <w:rPr>
                <w:szCs w:val="20"/>
              </w:rPr>
              <w:t>35</w:t>
            </w:r>
          </w:p>
        </w:tc>
      </w:tr>
      <w:tr w:rsidR="002C0E1B" w:rsidRPr="00C120CE" w14:paraId="6A74E13F"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36A0BE2E" w14:textId="77777777" w:rsidR="002C0E1B" w:rsidRPr="00C120CE" w:rsidRDefault="002C0E1B" w:rsidP="00C120CE">
            <w:pPr>
              <w:spacing w:after="80" w:line="200" w:lineRule="exact"/>
              <w:jc w:val="both"/>
              <w:rPr>
                <w:szCs w:val="20"/>
              </w:rPr>
            </w:pPr>
            <w:r w:rsidRPr="00C120CE">
              <w:rPr>
                <w:szCs w:val="20"/>
              </w:rPr>
              <w:t>Minimum</w:t>
            </w:r>
          </w:p>
        </w:tc>
        <w:tc>
          <w:tcPr>
            <w:tcW w:w="0" w:type="auto"/>
            <w:tcBorders>
              <w:top w:val="nil"/>
              <w:left w:val="nil"/>
              <w:bottom w:val="nil"/>
              <w:right w:val="nil"/>
            </w:tcBorders>
            <w:shd w:val="clear" w:color="auto" w:fill="auto"/>
            <w:noWrap/>
            <w:vAlign w:val="bottom"/>
            <w:hideMark/>
          </w:tcPr>
          <w:p w14:paraId="4FACC719" w14:textId="77777777" w:rsidR="002C0E1B" w:rsidRPr="00C120CE" w:rsidRDefault="002C0E1B" w:rsidP="00C120CE">
            <w:pPr>
              <w:spacing w:after="80" w:line="200" w:lineRule="exact"/>
              <w:jc w:val="both"/>
              <w:rPr>
                <w:szCs w:val="20"/>
              </w:rPr>
            </w:pPr>
            <w:r w:rsidRPr="00C120CE">
              <w:rPr>
                <w:szCs w:val="20"/>
              </w:rPr>
              <w:t>0</w:t>
            </w:r>
          </w:p>
        </w:tc>
        <w:tc>
          <w:tcPr>
            <w:tcW w:w="0" w:type="auto"/>
            <w:tcBorders>
              <w:top w:val="nil"/>
              <w:left w:val="nil"/>
              <w:bottom w:val="nil"/>
              <w:right w:val="nil"/>
            </w:tcBorders>
            <w:shd w:val="clear" w:color="auto" w:fill="auto"/>
            <w:noWrap/>
            <w:vAlign w:val="bottom"/>
            <w:hideMark/>
          </w:tcPr>
          <w:p w14:paraId="325EE280" w14:textId="77777777" w:rsidR="002C0E1B" w:rsidRPr="00C120CE" w:rsidRDefault="002C0E1B" w:rsidP="00C120CE">
            <w:pPr>
              <w:spacing w:after="80" w:line="200" w:lineRule="exact"/>
              <w:jc w:val="both"/>
              <w:rPr>
                <w:szCs w:val="20"/>
              </w:rPr>
            </w:pPr>
            <w:r w:rsidRPr="00C120CE">
              <w:rPr>
                <w:szCs w:val="20"/>
              </w:rPr>
              <w:t>Minimum</w:t>
            </w:r>
          </w:p>
        </w:tc>
        <w:tc>
          <w:tcPr>
            <w:tcW w:w="0" w:type="auto"/>
            <w:tcBorders>
              <w:top w:val="nil"/>
              <w:left w:val="nil"/>
              <w:bottom w:val="nil"/>
              <w:right w:val="nil"/>
            </w:tcBorders>
            <w:shd w:val="clear" w:color="auto" w:fill="auto"/>
            <w:noWrap/>
            <w:vAlign w:val="bottom"/>
            <w:hideMark/>
          </w:tcPr>
          <w:p w14:paraId="7D2408DC" w14:textId="77777777" w:rsidR="002C0E1B" w:rsidRPr="00C120CE" w:rsidRDefault="002C0E1B" w:rsidP="00C120CE">
            <w:pPr>
              <w:spacing w:after="80" w:line="200" w:lineRule="exact"/>
              <w:jc w:val="both"/>
              <w:rPr>
                <w:szCs w:val="20"/>
              </w:rPr>
            </w:pPr>
            <w:r w:rsidRPr="00C120CE">
              <w:rPr>
                <w:szCs w:val="20"/>
              </w:rPr>
              <w:t>0</w:t>
            </w:r>
          </w:p>
        </w:tc>
      </w:tr>
      <w:tr w:rsidR="002C0E1B" w:rsidRPr="00C120CE" w14:paraId="0126A3F7"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20F21B82" w14:textId="77777777" w:rsidR="002C0E1B" w:rsidRPr="00C120CE" w:rsidRDefault="002C0E1B" w:rsidP="00C120CE">
            <w:pPr>
              <w:spacing w:after="80" w:line="200" w:lineRule="exact"/>
              <w:jc w:val="both"/>
              <w:rPr>
                <w:szCs w:val="20"/>
              </w:rPr>
            </w:pPr>
            <w:r w:rsidRPr="00C120CE">
              <w:rPr>
                <w:szCs w:val="20"/>
              </w:rPr>
              <w:t>Maximum</w:t>
            </w:r>
          </w:p>
        </w:tc>
        <w:tc>
          <w:tcPr>
            <w:tcW w:w="0" w:type="auto"/>
            <w:tcBorders>
              <w:top w:val="nil"/>
              <w:left w:val="nil"/>
              <w:bottom w:val="nil"/>
              <w:right w:val="nil"/>
            </w:tcBorders>
            <w:shd w:val="clear" w:color="auto" w:fill="auto"/>
            <w:noWrap/>
            <w:vAlign w:val="bottom"/>
            <w:hideMark/>
          </w:tcPr>
          <w:p w14:paraId="03161A1B" w14:textId="77777777" w:rsidR="002C0E1B" w:rsidRPr="00C120CE" w:rsidRDefault="002C0E1B" w:rsidP="00C120CE">
            <w:pPr>
              <w:spacing w:after="80" w:line="200" w:lineRule="exact"/>
              <w:jc w:val="both"/>
              <w:rPr>
                <w:szCs w:val="20"/>
              </w:rPr>
            </w:pPr>
            <w:r w:rsidRPr="00C120CE">
              <w:rPr>
                <w:szCs w:val="20"/>
              </w:rPr>
              <w:t>36</w:t>
            </w:r>
          </w:p>
        </w:tc>
        <w:tc>
          <w:tcPr>
            <w:tcW w:w="0" w:type="auto"/>
            <w:tcBorders>
              <w:top w:val="nil"/>
              <w:left w:val="nil"/>
              <w:bottom w:val="nil"/>
              <w:right w:val="nil"/>
            </w:tcBorders>
            <w:shd w:val="clear" w:color="auto" w:fill="auto"/>
            <w:noWrap/>
            <w:vAlign w:val="bottom"/>
            <w:hideMark/>
          </w:tcPr>
          <w:p w14:paraId="01F4230D" w14:textId="77777777" w:rsidR="002C0E1B" w:rsidRPr="00C120CE" w:rsidRDefault="002C0E1B" w:rsidP="00C120CE">
            <w:pPr>
              <w:spacing w:after="80" w:line="200" w:lineRule="exact"/>
              <w:jc w:val="both"/>
              <w:rPr>
                <w:szCs w:val="20"/>
              </w:rPr>
            </w:pPr>
            <w:r w:rsidRPr="00C120CE">
              <w:rPr>
                <w:szCs w:val="20"/>
              </w:rPr>
              <w:t>Maximum</w:t>
            </w:r>
          </w:p>
        </w:tc>
        <w:tc>
          <w:tcPr>
            <w:tcW w:w="0" w:type="auto"/>
            <w:tcBorders>
              <w:top w:val="nil"/>
              <w:left w:val="nil"/>
              <w:bottom w:val="nil"/>
              <w:right w:val="nil"/>
            </w:tcBorders>
            <w:shd w:val="clear" w:color="auto" w:fill="auto"/>
            <w:noWrap/>
            <w:vAlign w:val="bottom"/>
            <w:hideMark/>
          </w:tcPr>
          <w:p w14:paraId="0DF167C5" w14:textId="77777777" w:rsidR="002C0E1B" w:rsidRPr="00C120CE" w:rsidRDefault="002C0E1B" w:rsidP="00C120CE">
            <w:pPr>
              <w:spacing w:after="80" w:line="200" w:lineRule="exact"/>
              <w:jc w:val="both"/>
              <w:rPr>
                <w:szCs w:val="20"/>
              </w:rPr>
            </w:pPr>
            <w:r w:rsidRPr="00C120CE">
              <w:rPr>
                <w:szCs w:val="20"/>
              </w:rPr>
              <w:t>35</w:t>
            </w:r>
          </w:p>
        </w:tc>
      </w:tr>
      <w:tr w:rsidR="002C0E1B" w:rsidRPr="00C120CE" w14:paraId="675B6640"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426CFDCF" w14:textId="77777777" w:rsidR="002C0E1B" w:rsidRPr="00C120CE" w:rsidRDefault="002C0E1B" w:rsidP="00C120CE">
            <w:pPr>
              <w:spacing w:after="80" w:line="200" w:lineRule="exact"/>
              <w:jc w:val="both"/>
              <w:rPr>
                <w:szCs w:val="20"/>
              </w:rPr>
            </w:pPr>
            <w:r w:rsidRPr="00C120CE">
              <w:rPr>
                <w:szCs w:val="20"/>
              </w:rPr>
              <w:t>Sum</w:t>
            </w:r>
          </w:p>
        </w:tc>
        <w:tc>
          <w:tcPr>
            <w:tcW w:w="0" w:type="auto"/>
            <w:tcBorders>
              <w:top w:val="nil"/>
              <w:left w:val="nil"/>
              <w:bottom w:val="nil"/>
              <w:right w:val="nil"/>
            </w:tcBorders>
            <w:shd w:val="clear" w:color="auto" w:fill="auto"/>
            <w:noWrap/>
            <w:vAlign w:val="bottom"/>
            <w:hideMark/>
          </w:tcPr>
          <w:p w14:paraId="6A51D5FE" w14:textId="77777777" w:rsidR="002C0E1B" w:rsidRPr="00C120CE" w:rsidRDefault="002C0E1B" w:rsidP="00C120CE">
            <w:pPr>
              <w:spacing w:after="80" w:line="200" w:lineRule="exact"/>
              <w:jc w:val="both"/>
              <w:rPr>
                <w:szCs w:val="20"/>
              </w:rPr>
            </w:pPr>
            <w:r w:rsidRPr="00C120CE">
              <w:rPr>
                <w:szCs w:val="20"/>
              </w:rPr>
              <w:t>72</w:t>
            </w:r>
          </w:p>
        </w:tc>
        <w:tc>
          <w:tcPr>
            <w:tcW w:w="0" w:type="auto"/>
            <w:tcBorders>
              <w:top w:val="nil"/>
              <w:left w:val="nil"/>
              <w:bottom w:val="nil"/>
              <w:right w:val="nil"/>
            </w:tcBorders>
            <w:shd w:val="clear" w:color="auto" w:fill="auto"/>
            <w:noWrap/>
            <w:vAlign w:val="bottom"/>
            <w:hideMark/>
          </w:tcPr>
          <w:p w14:paraId="608B64BC" w14:textId="77777777" w:rsidR="002C0E1B" w:rsidRPr="00C120CE" w:rsidRDefault="002C0E1B" w:rsidP="00C120CE">
            <w:pPr>
              <w:spacing w:after="80" w:line="200" w:lineRule="exact"/>
              <w:jc w:val="both"/>
              <w:rPr>
                <w:szCs w:val="20"/>
              </w:rPr>
            </w:pPr>
            <w:r w:rsidRPr="00C120CE">
              <w:rPr>
                <w:szCs w:val="20"/>
              </w:rPr>
              <w:t>Sum</w:t>
            </w:r>
          </w:p>
        </w:tc>
        <w:tc>
          <w:tcPr>
            <w:tcW w:w="0" w:type="auto"/>
            <w:tcBorders>
              <w:top w:val="nil"/>
              <w:left w:val="nil"/>
              <w:bottom w:val="nil"/>
              <w:right w:val="nil"/>
            </w:tcBorders>
            <w:shd w:val="clear" w:color="auto" w:fill="auto"/>
            <w:noWrap/>
            <w:vAlign w:val="bottom"/>
            <w:hideMark/>
          </w:tcPr>
          <w:p w14:paraId="5EA47CFA" w14:textId="77777777" w:rsidR="002C0E1B" w:rsidRPr="00C120CE" w:rsidRDefault="002C0E1B" w:rsidP="00C120CE">
            <w:pPr>
              <w:spacing w:after="80" w:line="200" w:lineRule="exact"/>
              <w:jc w:val="both"/>
              <w:rPr>
                <w:szCs w:val="20"/>
              </w:rPr>
            </w:pPr>
            <w:r w:rsidRPr="00C120CE">
              <w:rPr>
                <w:szCs w:val="20"/>
              </w:rPr>
              <w:t>70</w:t>
            </w:r>
          </w:p>
        </w:tc>
      </w:tr>
      <w:tr w:rsidR="002C0E1B" w:rsidRPr="00C120CE" w14:paraId="3BFC647D"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386E8083" w14:textId="77777777" w:rsidR="002C0E1B" w:rsidRPr="00C120CE" w:rsidRDefault="002C0E1B" w:rsidP="00C120CE">
            <w:pPr>
              <w:spacing w:after="80" w:line="200" w:lineRule="exact"/>
              <w:jc w:val="both"/>
              <w:rPr>
                <w:szCs w:val="20"/>
              </w:rPr>
            </w:pPr>
            <w:r w:rsidRPr="00C120CE">
              <w:rPr>
                <w:szCs w:val="20"/>
              </w:rPr>
              <w:t>Count</w:t>
            </w:r>
          </w:p>
        </w:tc>
        <w:tc>
          <w:tcPr>
            <w:tcW w:w="0" w:type="auto"/>
            <w:tcBorders>
              <w:top w:val="nil"/>
              <w:left w:val="nil"/>
              <w:bottom w:val="nil"/>
              <w:right w:val="nil"/>
            </w:tcBorders>
            <w:shd w:val="clear" w:color="auto" w:fill="auto"/>
            <w:noWrap/>
            <w:vAlign w:val="bottom"/>
            <w:hideMark/>
          </w:tcPr>
          <w:p w14:paraId="02450493" w14:textId="77777777" w:rsidR="002C0E1B" w:rsidRPr="00C120CE" w:rsidRDefault="002C0E1B" w:rsidP="00C120CE">
            <w:pPr>
              <w:spacing w:after="80" w:line="200" w:lineRule="exact"/>
              <w:jc w:val="both"/>
              <w:rPr>
                <w:szCs w:val="20"/>
              </w:rPr>
            </w:pPr>
            <w:r w:rsidRPr="00C120CE">
              <w:rPr>
                <w:szCs w:val="20"/>
              </w:rPr>
              <w:t>9</w:t>
            </w:r>
          </w:p>
        </w:tc>
        <w:tc>
          <w:tcPr>
            <w:tcW w:w="0" w:type="auto"/>
            <w:tcBorders>
              <w:top w:val="nil"/>
              <w:left w:val="nil"/>
              <w:bottom w:val="nil"/>
              <w:right w:val="nil"/>
            </w:tcBorders>
            <w:shd w:val="clear" w:color="auto" w:fill="auto"/>
            <w:noWrap/>
            <w:vAlign w:val="bottom"/>
            <w:hideMark/>
          </w:tcPr>
          <w:p w14:paraId="2CCD2CDB" w14:textId="77777777" w:rsidR="002C0E1B" w:rsidRPr="00C120CE" w:rsidRDefault="002C0E1B" w:rsidP="00C120CE">
            <w:pPr>
              <w:spacing w:after="80" w:line="200" w:lineRule="exact"/>
              <w:jc w:val="both"/>
              <w:rPr>
                <w:szCs w:val="20"/>
              </w:rPr>
            </w:pPr>
            <w:r w:rsidRPr="00C120CE">
              <w:rPr>
                <w:szCs w:val="20"/>
              </w:rPr>
              <w:t>Count</w:t>
            </w:r>
          </w:p>
        </w:tc>
        <w:tc>
          <w:tcPr>
            <w:tcW w:w="0" w:type="auto"/>
            <w:tcBorders>
              <w:top w:val="nil"/>
              <w:left w:val="nil"/>
              <w:bottom w:val="nil"/>
              <w:right w:val="nil"/>
            </w:tcBorders>
            <w:shd w:val="clear" w:color="auto" w:fill="auto"/>
            <w:noWrap/>
            <w:vAlign w:val="bottom"/>
            <w:hideMark/>
          </w:tcPr>
          <w:p w14:paraId="563EA2E7" w14:textId="77777777" w:rsidR="002C0E1B" w:rsidRPr="00C120CE" w:rsidRDefault="002C0E1B" w:rsidP="00C120CE">
            <w:pPr>
              <w:spacing w:after="80" w:line="200" w:lineRule="exact"/>
              <w:jc w:val="both"/>
              <w:rPr>
                <w:szCs w:val="20"/>
              </w:rPr>
            </w:pPr>
            <w:r w:rsidRPr="00C120CE">
              <w:rPr>
                <w:szCs w:val="20"/>
              </w:rPr>
              <w:t>9</w:t>
            </w:r>
          </w:p>
        </w:tc>
      </w:tr>
      <w:tr w:rsidR="002C0E1B" w:rsidRPr="00C120CE" w14:paraId="39B77438"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5CA7F0D1" w14:textId="77777777" w:rsidR="002C0E1B" w:rsidRPr="00C120CE" w:rsidRDefault="002C0E1B" w:rsidP="00C120CE">
            <w:pPr>
              <w:spacing w:after="80" w:line="200" w:lineRule="exact"/>
              <w:jc w:val="both"/>
              <w:rPr>
                <w:szCs w:val="20"/>
              </w:rPr>
            </w:pPr>
            <w:r w:rsidRPr="00C120CE">
              <w:rPr>
                <w:szCs w:val="20"/>
              </w:rPr>
              <w:t>Largest(1)</w:t>
            </w:r>
          </w:p>
        </w:tc>
        <w:tc>
          <w:tcPr>
            <w:tcW w:w="0" w:type="auto"/>
            <w:tcBorders>
              <w:top w:val="nil"/>
              <w:left w:val="nil"/>
              <w:bottom w:val="nil"/>
              <w:right w:val="nil"/>
            </w:tcBorders>
            <w:shd w:val="clear" w:color="auto" w:fill="auto"/>
            <w:noWrap/>
            <w:vAlign w:val="bottom"/>
            <w:hideMark/>
          </w:tcPr>
          <w:p w14:paraId="31CE60DC" w14:textId="77777777" w:rsidR="002C0E1B" w:rsidRPr="00C120CE" w:rsidRDefault="002C0E1B" w:rsidP="00C120CE">
            <w:pPr>
              <w:spacing w:after="80" w:line="200" w:lineRule="exact"/>
              <w:jc w:val="both"/>
              <w:rPr>
                <w:szCs w:val="20"/>
              </w:rPr>
            </w:pPr>
            <w:r w:rsidRPr="00C120CE">
              <w:rPr>
                <w:szCs w:val="20"/>
              </w:rPr>
              <w:t>36</w:t>
            </w:r>
          </w:p>
        </w:tc>
        <w:tc>
          <w:tcPr>
            <w:tcW w:w="0" w:type="auto"/>
            <w:tcBorders>
              <w:top w:val="nil"/>
              <w:left w:val="nil"/>
              <w:bottom w:val="nil"/>
              <w:right w:val="nil"/>
            </w:tcBorders>
            <w:shd w:val="clear" w:color="auto" w:fill="auto"/>
            <w:noWrap/>
            <w:vAlign w:val="bottom"/>
            <w:hideMark/>
          </w:tcPr>
          <w:p w14:paraId="5566B714" w14:textId="77777777" w:rsidR="002C0E1B" w:rsidRPr="00C120CE" w:rsidRDefault="002C0E1B" w:rsidP="00C120CE">
            <w:pPr>
              <w:spacing w:after="80" w:line="200" w:lineRule="exact"/>
              <w:jc w:val="both"/>
              <w:rPr>
                <w:szCs w:val="20"/>
              </w:rPr>
            </w:pPr>
            <w:r w:rsidRPr="00C120CE">
              <w:rPr>
                <w:szCs w:val="20"/>
              </w:rPr>
              <w:t>Largest(1)</w:t>
            </w:r>
          </w:p>
        </w:tc>
        <w:tc>
          <w:tcPr>
            <w:tcW w:w="0" w:type="auto"/>
            <w:tcBorders>
              <w:top w:val="nil"/>
              <w:left w:val="nil"/>
              <w:bottom w:val="nil"/>
              <w:right w:val="nil"/>
            </w:tcBorders>
            <w:shd w:val="clear" w:color="auto" w:fill="auto"/>
            <w:noWrap/>
            <w:vAlign w:val="bottom"/>
            <w:hideMark/>
          </w:tcPr>
          <w:p w14:paraId="608A6E54" w14:textId="77777777" w:rsidR="002C0E1B" w:rsidRPr="00C120CE" w:rsidRDefault="002C0E1B" w:rsidP="00C120CE">
            <w:pPr>
              <w:spacing w:after="80" w:line="200" w:lineRule="exact"/>
              <w:jc w:val="both"/>
              <w:rPr>
                <w:szCs w:val="20"/>
              </w:rPr>
            </w:pPr>
            <w:r w:rsidRPr="00C120CE">
              <w:rPr>
                <w:szCs w:val="20"/>
              </w:rPr>
              <w:t>35</w:t>
            </w:r>
          </w:p>
        </w:tc>
      </w:tr>
      <w:tr w:rsidR="002C0E1B" w:rsidRPr="00C120CE" w14:paraId="7A10E4F0" w14:textId="77777777" w:rsidTr="003B1EAA">
        <w:trPr>
          <w:trHeight w:val="300"/>
          <w:jc w:val="center"/>
        </w:trPr>
        <w:tc>
          <w:tcPr>
            <w:tcW w:w="0" w:type="auto"/>
            <w:tcBorders>
              <w:top w:val="nil"/>
              <w:left w:val="nil"/>
              <w:bottom w:val="nil"/>
              <w:right w:val="nil"/>
            </w:tcBorders>
            <w:shd w:val="clear" w:color="auto" w:fill="auto"/>
            <w:noWrap/>
            <w:vAlign w:val="bottom"/>
            <w:hideMark/>
          </w:tcPr>
          <w:p w14:paraId="4DF24ACE" w14:textId="77777777" w:rsidR="002C0E1B" w:rsidRPr="00C120CE" w:rsidRDefault="002C0E1B" w:rsidP="00C120CE">
            <w:pPr>
              <w:spacing w:after="80" w:line="200" w:lineRule="exact"/>
              <w:jc w:val="both"/>
              <w:rPr>
                <w:szCs w:val="20"/>
              </w:rPr>
            </w:pPr>
            <w:r w:rsidRPr="00C120CE">
              <w:rPr>
                <w:szCs w:val="20"/>
              </w:rPr>
              <w:t>Smallest(1)</w:t>
            </w:r>
          </w:p>
        </w:tc>
        <w:tc>
          <w:tcPr>
            <w:tcW w:w="0" w:type="auto"/>
            <w:tcBorders>
              <w:top w:val="nil"/>
              <w:left w:val="nil"/>
              <w:bottom w:val="nil"/>
              <w:right w:val="nil"/>
            </w:tcBorders>
            <w:shd w:val="clear" w:color="auto" w:fill="auto"/>
            <w:noWrap/>
            <w:vAlign w:val="bottom"/>
            <w:hideMark/>
          </w:tcPr>
          <w:p w14:paraId="632C9F18" w14:textId="77777777" w:rsidR="002C0E1B" w:rsidRPr="00C120CE" w:rsidRDefault="002C0E1B" w:rsidP="00C120CE">
            <w:pPr>
              <w:spacing w:after="80" w:line="200" w:lineRule="exact"/>
              <w:jc w:val="both"/>
              <w:rPr>
                <w:szCs w:val="20"/>
              </w:rPr>
            </w:pPr>
            <w:r w:rsidRPr="00C120CE">
              <w:rPr>
                <w:szCs w:val="20"/>
              </w:rPr>
              <w:t>0</w:t>
            </w:r>
          </w:p>
        </w:tc>
        <w:tc>
          <w:tcPr>
            <w:tcW w:w="0" w:type="auto"/>
            <w:tcBorders>
              <w:top w:val="nil"/>
              <w:left w:val="nil"/>
              <w:bottom w:val="nil"/>
              <w:right w:val="nil"/>
            </w:tcBorders>
            <w:shd w:val="clear" w:color="auto" w:fill="auto"/>
            <w:noWrap/>
            <w:vAlign w:val="bottom"/>
            <w:hideMark/>
          </w:tcPr>
          <w:p w14:paraId="41E048E4" w14:textId="77777777" w:rsidR="002C0E1B" w:rsidRPr="00C120CE" w:rsidRDefault="002C0E1B" w:rsidP="00C120CE">
            <w:pPr>
              <w:spacing w:after="80" w:line="200" w:lineRule="exact"/>
              <w:jc w:val="both"/>
              <w:rPr>
                <w:szCs w:val="20"/>
              </w:rPr>
            </w:pPr>
            <w:r w:rsidRPr="00C120CE">
              <w:rPr>
                <w:szCs w:val="20"/>
              </w:rPr>
              <w:t>Smallest(1)</w:t>
            </w:r>
          </w:p>
        </w:tc>
        <w:tc>
          <w:tcPr>
            <w:tcW w:w="0" w:type="auto"/>
            <w:tcBorders>
              <w:top w:val="nil"/>
              <w:left w:val="nil"/>
              <w:bottom w:val="nil"/>
              <w:right w:val="nil"/>
            </w:tcBorders>
            <w:shd w:val="clear" w:color="auto" w:fill="auto"/>
            <w:noWrap/>
            <w:vAlign w:val="bottom"/>
            <w:hideMark/>
          </w:tcPr>
          <w:p w14:paraId="54591F41" w14:textId="77777777" w:rsidR="002C0E1B" w:rsidRPr="00C120CE" w:rsidRDefault="002C0E1B" w:rsidP="00C120CE">
            <w:pPr>
              <w:spacing w:after="80" w:line="200" w:lineRule="exact"/>
              <w:jc w:val="both"/>
              <w:rPr>
                <w:szCs w:val="20"/>
              </w:rPr>
            </w:pPr>
            <w:r w:rsidRPr="00C120CE">
              <w:rPr>
                <w:szCs w:val="20"/>
              </w:rPr>
              <w:t>0</w:t>
            </w:r>
          </w:p>
        </w:tc>
      </w:tr>
      <w:tr w:rsidR="002C0E1B" w:rsidRPr="00C120CE" w14:paraId="3B070398" w14:textId="77777777" w:rsidTr="003B1EAA">
        <w:trPr>
          <w:trHeight w:val="315"/>
          <w:jc w:val="center"/>
        </w:trPr>
        <w:tc>
          <w:tcPr>
            <w:tcW w:w="0" w:type="auto"/>
            <w:tcBorders>
              <w:top w:val="nil"/>
              <w:left w:val="nil"/>
              <w:bottom w:val="single" w:sz="8" w:space="0" w:color="auto"/>
              <w:right w:val="nil"/>
            </w:tcBorders>
            <w:shd w:val="clear" w:color="auto" w:fill="auto"/>
            <w:noWrap/>
            <w:vAlign w:val="bottom"/>
            <w:hideMark/>
          </w:tcPr>
          <w:p w14:paraId="752BD3B4" w14:textId="77777777" w:rsidR="002C0E1B" w:rsidRPr="00C120CE" w:rsidRDefault="002C0E1B" w:rsidP="00C120CE">
            <w:pPr>
              <w:spacing w:after="80" w:line="200" w:lineRule="exact"/>
              <w:jc w:val="both"/>
              <w:rPr>
                <w:szCs w:val="20"/>
              </w:rPr>
            </w:pPr>
            <w:r w:rsidRPr="00C120CE">
              <w:rPr>
                <w:szCs w:val="20"/>
              </w:rPr>
              <w:t>Confidence Level(95,0%)</w:t>
            </w:r>
          </w:p>
        </w:tc>
        <w:tc>
          <w:tcPr>
            <w:tcW w:w="0" w:type="auto"/>
            <w:tcBorders>
              <w:top w:val="nil"/>
              <w:left w:val="nil"/>
              <w:bottom w:val="single" w:sz="8" w:space="0" w:color="auto"/>
              <w:right w:val="nil"/>
            </w:tcBorders>
            <w:shd w:val="clear" w:color="auto" w:fill="auto"/>
            <w:noWrap/>
            <w:vAlign w:val="bottom"/>
            <w:hideMark/>
          </w:tcPr>
          <w:p w14:paraId="2D659ECC" w14:textId="77777777" w:rsidR="002C0E1B" w:rsidRPr="00C120CE" w:rsidRDefault="002C0E1B" w:rsidP="00C120CE">
            <w:pPr>
              <w:spacing w:after="80" w:line="200" w:lineRule="exact"/>
              <w:jc w:val="both"/>
              <w:rPr>
                <w:szCs w:val="20"/>
              </w:rPr>
            </w:pPr>
            <w:r w:rsidRPr="00C120CE">
              <w:rPr>
                <w:szCs w:val="20"/>
              </w:rPr>
              <w:t>9,592965</w:t>
            </w:r>
          </w:p>
        </w:tc>
        <w:tc>
          <w:tcPr>
            <w:tcW w:w="0" w:type="auto"/>
            <w:tcBorders>
              <w:top w:val="nil"/>
              <w:left w:val="nil"/>
              <w:bottom w:val="single" w:sz="8" w:space="0" w:color="auto"/>
              <w:right w:val="nil"/>
            </w:tcBorders>
            <w:shd w:val="clear" w:color="auto" w:fill="auto"/>
            <w:noWrap/>
            <w:vAlign w:val="bottom"/>
            <w:hideMark/>
          </w:tcPr>
          <w:p w14:paraId="2E89BC12" w14:textId="77777777" w:rsidR="002C0E1B" w:rsidRPr="00C120CE" w:rsidRDefault="002C0E1B" w:rsidP="00C120CE">
            <w:pPr>
              <w:spacing w:after="80" w:line="200" w:lineRule="exact"/>
              <w:jc w:val="both"/>
              <w:rPr>
                <w:szCs w:val="20"/>
              </w:rPr>
            </w:pPr>
            <w:r w:rsidRPr="00C120CE">
              <w:rPr>
                <w:szCs w:val="20"/>
              </w:rPr>
              <w:t>Confidence Level(95,0%)</w:t>
            </w:r>
          </w:p>
        </w:tc>
        <w:tc>
          <w:tcPr>
            <w:tcW w:w="0" w:type="auto"/>
            <w:tcBorders>
              <w:top w:val="nil"/>
              <w:left w:val="nil"/>
              <w:bottom w:val="single" w:sz="8" w:space="0" w:color="auto"/>
              <w:right w:val="nil"/>
            </w:tcBorders>
            <w:shd w:val="clear" w:color="auto" w:fill="auto"/>
            <w:noWrap/>
            <w:vAlign w:val="bottom"/>
            <w:hideMark/>
          </w:tcPr>
          <w:p w14:paraId="7500CEB6" w14:textId="77777777" w:rsidR="002C0E1B" w:rsidRPr="00C120CE" w:rsidRDefault="002C0E1B" w:rsidP="00C120CE">
            <w:pPr>
              <w:spacing w:after="80" w:line="200" w:lineRule="exact"/>
              <w:jc w:val="both"/>
              <w:rPr>
                <w:szCs w:val="20"/>
              </w:rPr>
            </w:pPr>
            <w:r w:rsidRPr="00C120CE">
              <w:rPr>
                <w:szCs w:val="20"/>
              </w:rPr>
              <w:t>8,347906</w:t>
            </w:r>
          </w:p>
        </w:tc>
      </w:tr>
    </w:tbl>
    <w:p w14:paraId="1721B237" w14:textId="77777777" w:rsidR="002C0E1B" w:rsidRDefault="002C0E1B" w:rsidP="002C0E1B">
      <w:pPr>
        <w:ind w:firstLine="284"/>
        <w:jc w:val="both"/>
        <w:rPr>
          <w:i/>
          <w:szCs w:val="22"/>
        </w:rPr>
      </w:pPr>
    </w:p>
    <w:p w14:paraId="02BEB336" w14:textId="77777777" w:rsidR="002C0E1B" w:rsidRPr="0084614A" w:rsidRDefault="002C0E1B" w:rsidP="000F6032">
      <w:pPr>
        <w:ind w:firstLine="357"/>
        <w:jc w:val="both"/>
        <w:rPr>
          <w:szCs w:val="22"/>
        </w:rPr>
      </w:pPr>
      <w:r w:rsidRPr="00BB2B14">
        <w:rPr>
          <w:i/>
          <w:szCs w:val="22"/>
        </w:rPr>
        <w:t>Comment:</w:t>
      </w:r>
      <w:r w:rsidRPr="0084614A">
        <w:rPr>
          <w:szCs w:val="22"/>
        </w:rPr>
        <w:t xml:space="preserve"> From the results of </w:t>
      </w:r>
      <w:r w:rsidRPr="00BB2B14">
        <w:rPr>
          <w:szCs w:val="22"/>
        </w:rPr>
        <w:t xml:space="preserve">Table </w:t>
      </w:r>
      <w:r>
        <w:rPr>
          <w:szCs w:val="22"/>
        </w:rPr>
        <w:t>7</w:t>
      </w:r>
      <w:r w:rsidRPr="0084614A">
        <w:rPr>
          <w:szCs w:val="22"/>
        </w:rPr>
        <w:t xml:space="preserve">, the average parameters, median, standard deviation, sample variance of the test </w:t>
      </w:r>
      <w:proofErr w:type="spellStart"/>
      <w:r w:rsidRPr="0084614A">
        <w:rPr>
          <w:szCs w:val="22"/>
        </w:rPr>
        <w:t>csores</w:t>
      </w:r>
      <w:proofErr w:type="spellEnd"/>
      <w:r w:rsidRPr="0084614A">
        <w:rPr>
          <w:szCs w:val="22"/>
        </w:rPr>
        <w:t xml:space="preserve"> of the EC class are higher than the CC class Therefore, that can be determined that there has been progress </w:t>
      </w:r>
      <w:r w:rsidRPr="0084614A">
        <w:rPr>
          <w:szCs w:val="22"/>
        </w:rPr>
        <w:lastRenderedPageBreak/>
        <w:t>and increase in scores in assessing learning outcomes when applying teaching models that apply the IT competence framework in teaching online.</w:t>
      </w:r>
    </w:p>
    <w:p w14:paraId="68EDE02D" w14:textId="77777777" w:rsidR="002C0E1B" w:rsidRPr="00C120CE" w:rsidRDefault="002C0E1B" w:rsidP="000F6032">
      <w:pPr>
        <w:ind w:firstLine="357"/>
        <w:jc w:val="center"/>
        <w:rPr>
          <w:i/>
          <w:szCs w:val="22"/>
        </w:rPr>
      </w:pPr>
      <m:oMath>
        <m:r>
          <w:rPr>
            <w:rFonts w:ascii="Cambria Math" w:hAnsi="Cambria Math"/>
            <w:szCs w:val="22"/>
          </w:rPr>
          <m:t>ES=</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Mean</m:t>
                </m:r>
              </m:e>
              <m:sub>
                <m:r>
                  <w:rPr>
                    <w:rFonts w:ascii="Cambria Math" w:hAnsi="Cambria Math"/>
                    <w:szCs w:val="22"/>
                  </w:rPr>
                  <m:t>Post</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Mean</m:t>
                </m:r>
              </m:e>
              <m:sub>
                <m:r>
                  <w:rPr>
                    <w:rFonts w:ascii="Cambria Math" w:hAnsi="Cambria Math"/>
                    <w:szCs w:val="22"/>
                  </w:rPr>
                  <m:t>Pre</m:t>
                </m:r>
              </m:sub>
            </m:sSub>
          </m:num>
          <m:den>
            <m:sSub>
              <m:sSubPr>
                <m:ctrlPr>
                  <w:rPr>
                    <w:rFonts w:ascii="Cambria Math" w:hAnsi="Cambria Math"/>
                    <w:i/>
                    <w:szCs w:val="22"/>
                  </w:rPr>
                </m:ctrlPr>
              </m:sSubPr>
              <m:e>
                <m:r>
                  <w:rPr>
                    <w:rFonts w:ascii="Cambria Math" w:hAnsi="Cambria Math"/>
                    <w:szCs w:val="22"/>
                    <w:lang w:eastAsia="vi-VN"/>
                  </w:rPr>
                  <m:t>Standard Deviation</m:t>
                </m:r>
              </m:e>
              <m:sub>
                <m:r>
                  <w:rPr>
                    <w:rFonts w:ascii="Cambria Math" w:hAnsi="Cambria Math"/>
                    <w:szCs w:val="22"/>
                  </w:rPr>
                  <m:t>Pre</m:t>
                </m:r>
              </m:sub>
            </m:sSub>
          </m:den>
        </m:f>
        <m:r>
          <w:rPr>
            <w:rFonts w:ascii="Cambria Math" w:hAnsi="Cambria Math"/>
            <w:szCs w:val="22"/>
          </w:rPr>
          <m:t xml:space="preserve">= </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X</m:t>
                </m:r>
              </m:e>
              <m:sub>
                <m:r>
                  <w:rPr>
                    <w:rFonts w:ascii="Cambria Math" w:hAnsi="Cambria Math"/>
                    <w:szCs w:val="22"/>
                  </w:rPr>
                  <m:t>EC</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CC</m:t>
                </m:r>
              </m:sub>
            </m:sSub>
          </m:num>
          <m:den>
            <m:sSub>
              <m:sSubPr>
                <m:ctrlPr>
                  <w:rPr>
                    <w:rFonts w:ascii="Cambria Math" w:hAnsi="Cambria Math"/>
                    <w:i/>
                    <w:szCs w:val="22"/>
                  </w:rPr>
                </m:ctrlPr>
              </m:sSubPr>
              <m:e>
                <m:r>
                  <w:rPr>
                    <w:rFonts w:ascii="Cambria Math" w:hAnsi="Cambria Math"/>
                    <w:szCs w:val="22"/>
                    <w:lang w:eastAsia="vi-VN"/>
                  </w:rPr>
                  <m:t>S</m:t>
                </m:r>
              </m:e>
              <m:sub>
                <m:r>
                  <w:rPr>
                    <w:rFonts w:ascii="Cambria Math" w:hAnsi="Cambria Math"/>
                    <w:szCs w:val="22"/>
                  </w:rPr>
                  <m:t>CC</m:t>
                </m:r>
              </m:sub>
            </m:sSub>
          </m:den>
        </m:f>
        <m:r>
          <w:rPr>
            <w:rFonts w:ascii="Cambria Math" w:hAnsi="Cambria Math"/>
            <w:szCs w:val="22"/>
          </w:rPr>
          <m:t xml:space="preserve"> </m:t>
        </m:r>
      </m:oMath>
      <w:r w:rsidRPr="00C120CE">
        <w:rPr>
          <w:i/>
          <w:szCs w:val="22"/>
        </w:rPr>
        <w:t xml:space="preserve"> = 0,6</w:t>
      </w:r>
    </w:p>
    <w:p w14:paraId="08BE1C15" w14:textId="77777777" w:rsidR="002C0E1B" w:rsidRPr="0084614A" w:rsidRDefault="002C0E1B" w:rsidP="00C120CE">
      <w:pPr>
        <w:spacing w:before="120"/>
        <w:ind w:firstLine="357"/>
        <w:jc w:val="both"/>
        <w:rPr>
          <w:szCs w:val="22"/>
        </w:rPr>
      </w:pPr>
      <w:r w:rsidRPr="0084614A">
        <w:rPr>
          <w:szCs w:val="22"/>
        </w:rPr>
        <w:t xml:space="preserve">The value ES = 0,6 reaches the average influence level (according to </w:t>
      </w:r>
      <w:proofErr w:type="spellStart"/>
      <w:proofErr w:type="gramStart"/>
      <w:r w:rsidRPr="0084614A">
        <w:rPr>
          <w:szCs w:val="22"/>
        </w:rPr>
        <w:t>J.Cohen's</w:t>
      </w:r>
      <w:proofErr w:type="spellEnd"/>
      <w:proofErr w:type="gramEnd"/>
      <w:r w:rsidRPr="0084614A">
        <w:rPr>
          <w:szCs w:val="22"/>
        </w:rPr>
        <w:t xml:space="preserve"> criteria (1998), the ES value is about 0,5 to 0,79).</w:t>
      </w:r>
    </w:p>
    <w:p w14:paraId="0048142B" w14:textId="77777777" w:rsidR="002C0E1B" w:rsidRPr="0084614A" w:rsidRDefault="002C0E1B" w:rsidP="000F6032">
      <w:pPr>
        <w:ind w:firstLine="357"/>
        <w:rPr>
          <w:szCs w:val="22"/>
        </w:rPr>
      </w:pPr>
      <w:r w:rsidRPr="0084614A">
        <w:rPr>
          <w:szCs w:val="22"/>
        </w:rPr>
        <w:t>The average value (expected) the score distribution table is calculated:</w:t>
      </w:r>
      <w:r w:rsidRPr="0084614A">
        <w:rPr>
          <w:szCs w:val="22"/>
        </w:rPr>
        <w:br/>
      </w:r>
      <m:oMathPara>
        <m:oMathParaPr>
          <m:jc m:val="center"/>
        </m:oMathParaPr>
        <m:oMath>
          <m:bar>
            <m:barPr>
              <m:pos m:val="top"/>
              <m:ctrlPr>
                <w:rPr>
                  <w:rFonts w:ascii="Cambria Math" w:hAnsi="Cambria Math"/>
                  <w:szCs w:val="22"/>
                </w:rPr>
              </m:ctrlPr>
            </m:barPr>
            <m:e>
              <m:r>
                <m:rPr>
                  <m:sty m:val="p"/>
                </m:rPr>
                <w:rPr>
                  <w:rFonts w:ascii="Cambria Math" w:hAnsi="Cambria Math"/>
                  <w:szCs w:val="22"/>
                </w:rPr>
                <m:t>X</m:t>
              </m:r>
            </m:e>
          </m:bar>
          <m:r>
            <m:rPr>
              <m:sty m:val="p"/>
            </m:rPr>
            <w:rPr>
              <w:rFonts w:ascii="Cambria Math" w:hAnsi="Cambria Math"/>
              <w:szCs w:val="22"/>
            </w:rPr>
            <m:t xml:space="preserve">= </m:t>
          </m:r>
          <m:f>
            <m:fPr>
              <m:ctrlPr>
                <w:rPr>
                  <w:rFonts w:ascii="Cambria Math" w:hAnsi="Cambria Math"/>
                  <w:szCs w:val="22"/>
                </w:rPr>
              </m:ctrlPr>
            </m:fPr>
            <m:num>
              <m:r>
                <m:rPr>
                  <m:sty m:val="p"/>
                </m:rPr>
                <w:rPr>
                  <w:rFonts w:ascii="Cambria Math" w:hAnsi="Cambria Math"/>
                  <w:szCs w:val="22"/>
                </w:rPr>
                <m:t>1</m:t>
              </m:r>
            </m:num>
            <m:den>
              <m:r>
                <m:rPr>
                  <m:sty m:val="p"/>
                </m:rPr>
                <w:rPr>
                  <w:rFonts w:ascii="Cambria Math" w:hAnsi="Cambria Math"/>
                  <w:szCs w:val="22"/>
                </w:rPr>
                <m:t>n</m:t>
              </m:r>
            </m:den>
          </m:f>
          <m:nary>
            <m:naryPr>
              <m:chr m:val="∑"/>
              <m:limLoc m:val="undOvr"/>
              <m:ctrlPr>
                <w:rPr>
                  <w:rFonts w:ascii="Cambria Math" w:hAnsi="Cambria Math"/>
                  <w:szCs w:val="22"/>
                </w:rPr>
              </m:ctrlPr>
            </m:naryPr>
            <m:sub>
              <m:r>
                <m:rPr>
                  <m:sty m:val="p"/>
                </m:rPr>
                <w:rPr>
                  <w:rFonts w:ascii="Cambria Math" w:hAnsi="Cambria Math"/>
                  <w:szCs w:val="22"/>
                </w:rPr>
                <m:t>i=1</m:t>
              </m:r>
            </m:sub>
            <m:sup>
              <m:r>
                <m:rPr>
                  <m:sty m:val="p"/>
                </m:rPr>
                <w:rPr>
                  <w:rFonts w:ascii="Cambria Math" w:hAnsi="Cambria Math"/>
                  <w:szCs w:val="22"/>
                </w:rPr>
                <m:t>n</m:t>
              </m:r>
            </m:sup>
            <m:e>
              <m:sSub>
                <m:sSubPr>
                  <m:ctrlPr>
                    <w:rPr>
                      <w:rFonts w:ascii="Cambria Math" w:hAnsi="Cambria Math"/>
                      <w:szCs w:val="22"/>
                    </w:rPr>
                  </m:ctrlPr>
                </m:sSubPr>
                <m:e>
                  <m:r>
                    <m:rPr>
                      <m:sty m:val="p"/>
                    </m:rPr>
                    <w:rPr>
                      <w:rFonts w:ascii="Cambria Math" w:hAnsi="Cambria Math"/>
                      <w:szCs w:val="22"/>
                    </w:rPr>
                    <m:t>n</m:t>
                  </m:r>
                </m:e>
                <m:sub>
                  <m:r>
                    <m:rPr>
                      <m:sty m:val="p"/>
                    </m:rPr>
                    <w:rPr>
                      <w:rFonts w:ascii="Cambria Math" w:hAnsi="Cambria Math"/>
                      <w:szCs w:val="22"/>
                    </w:rPr>
                    <m:t>i.</m:t>
                  </m:r>
                </m:sub>
              </m:sSub>
              <m:sSub>
                <m:sSubPr>
                  <m:ctrlPr>
                    <w:rPr>
                      <w:rFonts w:ascii="Cambria Math" w:hAnsi="Cambria Math"/>
                      <w:szCs w:val="22"/>
                    </w:rPr>
                  </m:ctrlPr>
                </m:sSubPr>
                <m:e>
                  <m:r>
                    <m:rPr>
                      <m:sty m:val="p"/>
                    </m:rPr>
                    <w:rPr>
                      <w:rFonts w:ascii="Cambria Math" w:hAnsi="Cambria Math"/>
                      <w:szCs w:val="22"/>
                    </w:rPr>
                    <m:t>x</m:t>
                  </m:r>
                </m:e>
                <m:sub>
                  <m:r>
                    <m:rPr>
                      <m:sty m:val="p"/>
                    </m:rPr>
                    <w:rPr>
                      <w:rFonts w:ascii="Cambria Math" w:hAnsi="Cambria Math"/>
                      <w:szCs w:val="22"/>
                    </w:rPr>
                    <m:t>i</m:t>
                  </m:r>
                </m:sub>
              </m:sSub>
            </m:e>
          </m:nary>
        </m:oMath>
      </m:oMathPara>
    </w:p>
    <w:p w14:paraId="683A747C" w14:textId="77777777" w:rsidR="002C0E1B" w:rsidRPr="0084614A" w:rsidRDefault="002C0E1B" w:rsidP="000F6032">
      <w:pPr>
        <w:ind w:firstLine="357"/>
        <w:jc w:val="both"/>
        <w:rPr>
          <w:i/>
          <w:szCs w:val="22"/>
        </w:rPr>
      </w:pPr>
      <w:r w:rsidRPr="0084614A">
        <w:rPr>
          <w:i/>
          <w:szCs w:val="22"/>
        </w:rPr>
        <w:t>+ With the EC class:</w:t>
      </w:r>
    </w:p>
    <w:p w14:paraId="2593A21A" w14:textId="77777777" w:rsidR="002C0E1B" w:rsidRPr="0084614A" w:rsidRDefault="002C0E1B" w:rsidP="00D90739">
      <w:pPr>
        <w:ind w:firstLine="720"/>
        <w:jc w:val="both"/>
        <w:rPr>
          <w:szCs w:val="22"/>
        </w:rPr>
      </w:pPr>
      <w:r w:rsidRPr="0084614A">
        <w:rPr>
          <w:szCs w:val="22"/>
        </w:rPr>
        <w:t xml:space="preserve"> </w:t>
      </w:r>
      <m:oMath>
        <m:bar>
          <m:barPr>
            <m:pos m:val="top"/>
            <m:ctrlPr>
              <w:rPr>
                <w:rFonts w:ascii="Cambria Math" w:hAnsi="Cambria Math"/>
                <w:szCs w:val="22"/>
              </w:rPr>
            </m:ctrlPr>
          </m:barPr>
          <m:e>
            <m:r>
              <m:rPr>
                <m:sty m:val="p"/>
              </m:rPr>
              <w:rPr>
                <w:rFonts w:ascii="Cambria Math" w:hAnsi="Cambria Math"/>
                <w:szCs w:val="22"/>
              </w:rPr>
              <m:t>X</m:t>
            </m:r>
          </m:e>
        </m:bar>
        <m:r>
          <m:rPr>
            <m:sty m:val="p"/>
          </m:rPr>
          <w:rPr>
            <w:rFonts w:ascii="Cambria Math" w:hAnsi="Cambria Math"/>
            <w:szCs w:val="22"/>
          </w:rPr>
          <m:t xml:space="preserve">= </m:t>
        </m:r>
        <m:f>
          <m:fPr>
            <m:ctrlPr>
              <w:rPr>
                <w:rFonts w:ascii="Cambria Math" w:hAnsi="Cambria Math"/>
                <w:szCs w:val="22"/>
              </w:rPr>
            </m:ctrlPr>
          </m:fPr>
          <m:num>
            <m:r>
              <m:rPr>
                <m:sty m:val="p"/>
              </m:rPr>
              <w:rPr>
                <w:rFonts w:ascii="Cambria Math" w:hAnsi="Cambria Math"/>
                <w:szCs w:val="22"/>
              </w:rPr>
              <m:t>1</m:t>
            </m:r>
          </m:num>
          <m:den>
            <m:r>
              <m:rPr>
                <m:sty m:val="p"/>
              </m:rPr>
              <w:rPr>
                <w:rFonts w:ascii="Cambria Math" w:hAnsi="Cambria Math"/>
                <w:szCs w:val="22"/>
              </w:rPr>
              <m:t>36</m:t>
            </m:r>
          </m:den>
        </m:f>
        <m:d>
          <m:dPr>
            <m:ctrlPr>
              <w:rPr>
                <w:rFonts w:ascii="Cambria Math" w:hAnsi="Cambria Math"/>
                <w:szCs w:val="22"/>
              </w:rPr>
            </m:ctrlPr>
          </m:dPr>
          <m:e>
            <m:r>
              <m:rPr>
                <m:sty m:val="p"/>
              </m:rPr>
              <w:rPr>
                <w:rFonts w:ascii="Cambria Math" w:hAnsi="Cambria Math"/>
                <w:szCs w:val="22"/>
              </w:rPr>
              <m:t>18×9,25+14×8,2+1×7,45+1×6,7+2×5,95</m:t>
            </m:r>
          </m:e>
        </m:d>
      </m:oMath>
      <w:r w:rsidRPr="0084614A">
        <w:rPr>
          <w:szCs w:val="22"/>
        </w:rPr>
        <w:t xml:space="preserve"> = 8,54</w:t>
      </w:r>
    </w:p>
    <w:p w14:paraId="2BBE7445" w14:textId="77777777" w:rsidR="002C0E1B" w:rsidRPr="0084614A" w:rsidRDefault="002C0E1B" w:rsidP="000F6032">
      <w:pPr>
        <w:ind w:firstLine="357"/>
        <w:jc w:val="both"/>
        <w:rPr>
          <w:i/>
          <w:szCs w:val="22"/>
        </w:rPr>
      </w:pPr>
      <w:r w:rsidRPr="0084614A">
        <w:rPr>
          <w:i/>
          <w:szCs w:val="22"/>
        </w:rPr>
        <w:t>+ With the CC class:</w:t>
      </w:r>
    </w:p>
    <w:p w14:paraId="447F5714" w14:textId="77777777" w:rsidR="002C0E1B" w:rsidRPr="0084614A" w:rsidRDefault="00C7653E" w:rsidP="00D90739">
      <w:pPr>
        <w:ind w:firstLine="720"/>
        <w:jc w:val="both"/>
        <w:rPr>
          <w:i/>
          <w:szCs w:val="22"/>
        </w:rPr>
      </w:pPr>
      <m:oMath>
        <m:bar>
          <m:barPr>
            <m:pos m:val="top"/>
            <m:ctrlPr>
              <w:rPr>
                <w:rFonts w:ascii="Cambria Math" w:hAnsi="Cambria Math"/>
                <w:i/>
                <w:szCs w:val="22"/>
              </w:rPr>
            </m:ctrlPr>
          </m:barPr>
          <m:e>
            <m:r>
              <w:rPr>
                <w:rFonts w:ascii="Cambria Math" w:hAnsi="Cambria Math"/>
                <w:szCs w:val="22"/>
              </w:rPr>
              <m:t>X</m:t>
            </m:r>
          </m:e>
        </m:bar>
        <m:r>
          <w:rPr>
            <w:rFonts w:ascii="Cambria Math" w:hAnsi="Cambria Math"/>
            <w:szCs w:val="22"/>
          </w:rPr>
          <m:t xml:space="preserve">= </m:t>
        </m:r>
        <m:f>
          <m:fPr>
            <m:ctrlPr>
              <w:rPr>
                <w:rFonts w:ascii="Cambria Math" w:hAnsi="Cambria Math"/>
                <w:i/>
                <w:szCs w:val="22"/>
              </w:rPr>
            </m:ctrlPr>
          </m:fPr>
          <m:num>
            <m:r>
              <w:rPr>
                <w:rFonts w:ascii="Cambria Math" w:hAnsi="Cambria Math"/>
                <w:szCs w:val="22"/>
              </w:rPr>
              <m:t>1</m:t>
            </m:r>
          </m:num>
          <m:den>
            <m:r>
              <w:rPr>
                <w:rFonts w:ascii="Cambria Math" w:hAnsi="Cambria Math"/>
                <w:szCs w:val="22"/>
              </w:rPr>
              <m:t>35</m:t>
            </m:r>
          </m:den>
        </m:f>
        <m:d>
          <m:dPr>
            <m:ctrlPr>
              <w:rPr>
                <w:rFonts w:ascii="Cambria Math" w:hAnsi="Cambria Math"/>
                <w:i/>
                <w:szCs w:val="22"/>
              </w:rPr>
            </m:ctrlPr>
          </m:dPr>
          <m:e>
            <m:r>
              <w:rPr>
                <w:rFonts w:ascii="Cambria Math" w:hAnsi="Cambria Math"/>
                <w:szCs w:val="22"/>
              </w:rPr>
              <m:t>10×9,25+6×8,2+6×7,45+9×6,7+3×5,95+1×5,2</m:t>
            </m:r>
          </m:e>
        </m:d>
      </m:oMath>
      <w:r w:rsidR="002C0E1B" w:rsidRPr="0084614A">
        <w:rPr>
          <w:i/>
          <w:szCs w:val="22"/>
        </w:rPr>
        <w:t xml:space="preserve"> = </w:t>
      </w:r>
      <w:r w:rsidR="002C0E1B" w:rsidRPr="0084614A">
        <w:rPr>
          <w:szCs w:val="22"/>
        </w:rPr>
        <w:t>7,71</w:t>
      </w:r>
    </w:p>
    <w:p w14:paraId="643C7633" w14:textId="77777777" w:rsidR="00C01E7B" w:rsidRDefault="00C01E7B" w:rsidP="000F6032">
      <w:pPr>
        <w:ind w:firstLine="357"/>
        <w:jc w:val="both"/>
        <w:rPr>
          <w:szCs w:val="22"/>
        </w:rPr>
      </w:pPr>
    </w:p>
    <w:p w14:paraId="7E8F7DDB" w14:textId="77777777" w:rsidR="002C0E1B" w:rsidRDefault="002C0E1B" w:rsidP="000F6032">
      <w:pPr>
        <w:ind w:firstLine="357"/>
        <w:jc w:val="both"/>
        <w:rPr>
          <w:szCs w:val="22"/>
        </w:rPr>
      </w:pPr>
      <w:r w:rsidRPr="0084614A">
        <w:rPr>
          <w:szCs w:val="22"/>
        </w:rPr>
        <w:t>Table of data on the impact level of the score results of students</w:t>
      </w:r>
      <w:r>
        <w:rPr>
          <w:szCs w:val="22"/>
        </w:rPr>
        <w:t>:</w:t>
      </w:r>
    </w:p>
    <w:p w14:paraId="61DC3A03" w14:textId="77777777" w:rsidR="002C0E1B" w:rsidRPr="00D90739" w:rsidRDefault="002C0E1B" w:rsidP="00F534A1">
      <w:pPr>
        <w:widowControl w:val="0"/>
        <w:spacing w:before="240" w:after="80" w:line="200" w:lineRule="exact"/>
        <w:ind w:firstLine="284"/>
        <w:jc w:val="center"/>
        <w:rPr>
          <w:rStyle w:val="fontstyle01"/>
          <w:b/>
          <w:sz w:val="20"/>
          <w:szCs w:val="22"/>
        </w:rPr>
      </w:pPr>
      <w:r w:rsidRPr="00D90739">
        <w:rPr>
          <w:rStyle w:val="fontstyle01"/>
          <w:b/>
          <w:sz w:val="20"/>
          <w:szCs w:val="22"/>
        </w:rPr>
        <w:t>Table 8 - The impact level of the score results</w:t>
      </w:r>
    </w:p>
    <w:tbl>
      <w:tblPr>
        <w:tblW w:w="0" w:type="auto"/>
        <w:jc w:val="center"/>
        <w:tblBorders>
          <w:top w:val="single" w:sz="2" w:space="0" w:color="auto"/>
          <w:bottom w:val="single" w:sz="2" w:space="0" w:color="auto"/>
        </w:tblBorders>
        <w:tblLook w:val="04A0" w:firstRow="1" w:lastRow="0" w:firstColumn="1" w:lastColumn="0" w:noHBand="0" w:noVBand="1"/>
      </w:tblPr>
      <w:tblGrid>
        <w:gridCol w:w="1134"/>
        <w:gridCol w:w="1701"/>
        <w:gridCol w:w="2152"/>
        <w:gridCol w:w="1387"/>
        <w:gridCol w:w="1276"/>
      </w:tblGrid>
      <w:tr w:rsidR="002C0E1B" w:rsidRPr="00EA54F2" w14:paraId="0EF8F6A7" w14:textId="77777777" w:rsidTr="00FD4391">
        <w:trPr>
          <w:jc w:val="center"/>
        </w:trPr>
        <w:tc>
          <w:tcPr>
            <w:tcW w:w="1134" w:type="dxa"/>
            <w:tcBorders>
              <w:top w:val="single" w:sz="2" w:space="0" w:color="auto"/>
              <w:bottom w:val="single" w:sz="2" w:space="0" w:color="auto"/>
            </w:tcBorders>
          </w:tcPr>
          <w:p w14:paraId="58AA5DE1" w14:textId="77777777" w:rsidR="002C0E1B" w:rsidRPr="00EA54F2" w:rsidRDefault="00D86AFC" w:rsidP="00F534A1">
            <w:pPr>
              <w:spacing w:after="80" w:line="200" w:lineRule="exact"/>
              <w:jc w:val="both"/>
              <w:rPr>
                <w:rStyle w:val="fontstyle01"/>
                <w:b/>
                <w:sz w:val="20"/>
                <w:szCs w:val="20"/>
              </w:rPr>
            </w:pPr>
            <w:r w:rsidRPr="00EA54F2">
              <w:rPr>
                <w:rStyle w:val="fontstyle01"/>
                <w:b/>
                <w:sz w:val="20"/>
                <w:szCs w:val="20"/>
              </w:rPr>
              <w:t>Class</w:t>
            </w:r>
          </w:p>
        </w:tc>
        <w:tc>
          <w:tcPr>
            <w:tcW w:w="1701" w:type="dxa"/>
            <w:tcBorders>
              <w:top w:val="single" w:sz="2" w:space="0" w:color="auto"/>
              <w:bottom w:val="single" w:sz="2" w:space="0" w:color="auto"/>
            </w:tcBorders>
          </w:tcPr>
          <w:p w14:paraId="1AE063F2" w14:textId="77777777" w:rsidR="002C0E1B" w:rsidRPr="00EA54F2" w:rsidRDefault="00D86AFC" w:rsidP="00F534A1">
            <w:pPr>
              <w:spacing w:after="80" w:line="200" w:lineRule="exact"/>
              <w:jc w:val="both"/>
              <w:rPr>
                <w:rStyle w:val="fontstyle01"/>
                <w:b/>
                <w:sz w:val="20"/>
                <w:szCs w:val="20"/>
              </w:rPr>
            </w:pPr>
            <w:r w:rsidRPr="00EA54F2">
              <w:rPr>
                <w:rStyle w:val="fontstyle01"/>
                <w:b/>
                <w:sz w:val="20"/>
                <w:szCs w:val="20"/>
              </w:rPr>
              <w:t>Average value</w:t>
            </w:r>
          </w:p>
        </w:tc>
        <w:tc>
          <w:tcPr>
            <w:tcW w:w="2152" w:type="dxa"/>
            <w:tcBorders>
              <w:top w:val="single" w:sz="2" w:space="0" w:color="auto"/>
              <w:bottom w:val="single" w:sz="2" w:space="0" w:color="auto"/>
            </w:tcBorders>
          </w:tcPr>
          <w:p w14:paraId="2D670146" w14:textId="77777777" w:rsidR="002C0E1B" w:rsidRPr="00EA54F2" w:rsidRDefault="00D86AFC" w:rsidP="00F534A1">
            <w:pPr>
              <w:spacing w:after="80" w:line="200" w:lineRule="exact"/>
              <w:jc w:val="both"/>
              <w:rPr>
                <w:rStyle w:val="fontstyle01"/>
                <w:b/>
                <w:sz w:val="20"/>
                <w:szCs w:val="20"/>
              </w:rPr>
            </w:pPr>
            <w:r w:rsidRPr="00EA54F2">
              <w:rPr>
                <w:rStyle w:val="fontstyle01"/>
                <w:b/>
                <w:sz w:val="20"/>
                <w:szCs w:val="20"/>
              </w:rPr>
              <w:t>Standard deviation</w:t>
            </w:r>
          </w:p>
        </w:tc>
        <w:tc>
          <w:tcPr>
            <w:tcW w:w="1387" w:type="dxa"/>
            <w:tcBorders>
              <w:top w:val="single" w:sz="2" w:space="0" w:color="auto"/>
              <w:bottom w:val="single" w:sz="2" w:space="0" w:color="auto"/>
            </w:tcBorders>
          </w:tcPr>
          <w:p w14:paraId="63A8A368" w14:textId="77777777" w:rsidR="002C0E1B" w:rsidRPr="00EA54F2" w:rsidRDefault="00D86AFC" w:rsidP="00F534A1">
            <w:pPr>
              <w:spacing w:after="80" w:line="200" w:lineRule="exact"/>
              <w:jc w:val="both"/>
              <w:rPr>
                <w:rStyle w:val="fontstyle01"/>
                <w:b/>
                <w:sz w:val="20"/>
                <w:szCs w:val="20"/>
              </w:rPr>
            </w:pPr>
            <w:r w:rsidRPr="00EA54F2">
              <w:rPr>
                <w:rStyle w:val="fontstyle01"/>
                <w:b/>
                <w:sz w:val="20"/>
                <w:szCs w:val="20"/>
              </w:rPr>
              <w:t>Variance</w:t>
            </w:r>
          </w:p>
        </w:tc>
        <w:tc>
          <w:tcPr>
            <w:tcW w:w="1276" w:type="dxa"/>
            <w:tcBorders>
              <w:top w:val="single" w:sz="2" w:space="0" w:color="auto"/>
              <w:bottom w:val="single" w:sz="2" w:space="0" w:color="auto"/>
            </w:tcBorders>
          </w:tcPr>
          <w:p w14:paraId="5791C9D6" w14:textId="77777777" w:rsidR="002C0E1B" w:rsidRPr="00EA54F2" w:rsidRDefault="002C0E1B" w:rsidP="00F534A1">
            <w:pPr>
              <w:spacing w:after="80" w:line="200" w:lineRule="exact"/>
              <w:jc w:val="both"/>
              <w:rPr>
                <w:rStyle w:val="fontstyle01"/>
                <w:b/>
                <w:sz w:val="20"/>
                <w:szCs w:val="20"/>
              </w:rPr>
            </w:pPr>
            <w:r w:rsidRPr="00EA54F2">
              <w:rPr>
                <w:rStyle w:val="fontstyle01"/>
                <w:b/>
                <w:sz w:val="20"/>
                <w:szCs w:val="20"/>
              </w:rPr>
              <w:t>ES index</w:t>
            </w:r>
          </w:p>
        </w:tc>
      </w:tr>
      <w:tr w:rsidR="002C0E1B" w:rsidRPr="00D90739" w14:paraId="4564CE64" w14:textId="77777777" w:rsidTr="00FD4391">
        <w:trPr>
          <w:jc w:val="center"/>
        </w:trPr>
        <w:tc>
          <w:tcPr>
            <w:tcW w:w="1134" w:type="dxa"/>
            <w:tcBorders>
              <w:top w:val="single" w:sz="2" w:space="0" w:color="auto"/>
            </w:tcBorders>
          </w:tcPr>
          <w:p w14:paraId="001B2B54" w14:textId="77777777" w:rsidR="002C0E1B" w:rsidRPr="00D90739" w:rsidRDefault="002C0E1B" w:rsidP="00EA54F2">
            <w:pPr>
              <w:spacing w:after="80" w:line="200" w:lineRule="exact"/>
              <w:rPr>
                <w:rStyle w:val="fontstyle01"/>
                <w:sz w:val="20"/>
                <w:szCs w:val="20"/>
              </w:rPr>
            </w:pPr>
            <w:r w:rsidRPr="00D90739">
              <w:rPr>
                <w:rStyle w:val="fontstyle01"/>
                <w:sz w:val="20"/>
                <w:szCs w:val="20"/>
              </w:rPr>
              <w:t>EC</w:t>
            </w:r>
          </w:p>
        </w:tc>
        <w:tc>
          <w:tcPr>
            <w:tcW w:w="1701" w:type="dxa"/>
            <w:tcBorders>
              <w:top w:val="single" w:sz="2" w:space="0" w:color="auto"/>
            </w:tcBorders>
          </w:tcPr>
          <w:p w14:paraId="2D59F402" w14:textId="77777777" w:rsidR="002C0E1B" w:rsidRPr="00D90739" w:rsidRDefault="002C0E1B" w:rsidP="00EA54F2">
            <w:pPr>
              <w:spacing w:after="80" w:line="200" w:lineRule="exact"/>
              <w:jc w:val="center"/>
              <w:rPr>
                <w:szCs w:val="20"/>
              </w:rPr>
            </w:pPr>
            <w:r w:rsidRPr="00D90739">
              <w:rPr>
                <w:szCs w:val="20"/>
              </w:rPr>
              <w:t>8,54</w:t>
            </w:r>
          </w:p>
        </w:tc>
        <w:tc>
          <w:tcPr>
            <w:tcW w:w="2152" w:type="dxa"/>
            <w:tcBorders>
              <w:top w:val="single" w:sz="2" w:space="0" w:color="auto"/>
            </w:tcBorders>
          </w:tcPr>
          <w:p w14:paraId="6EF2B6EF" w14:textId="77777777" w:rsidR="002C0E1B" w:rsidRPr="00D90739" w:rsidRDefault="002C0E1B" w:rsidP="00EA54F2">
            <w:pPr>
              <w:spacing w:after="80" w:line="200" w:lineRule="exact"/>
              <w:jc w:val="center"/>
              <w:rPr>
                <w:szCs w:val="20"/>
              </w:rPr>
            </w:pPr>
            <w:r w:rsidRPr="00D90739">
              <w:rPr>
                <w:szCs w:val="20"/>
              </w:rPr>
              <w:t>0,65</w:t>
            </w:r>
          </w:p>
        </w:tc>
        <w:tc>
          <w:tcPr>
            <w:tcW w:w="1387" w:type="dxa"/>
            <w:tcBorders>
              <w:top w:val="single" w:sz="2" w:space="0" w:color="auto"/>
            </w:tcBorders>
          </w:tcPr>
          <w:p w14:paraId="7060DE9D" w14:textId="77777777" w:rsidR="002C0E1B" w:rsidRPr="00D90739" w:rsidRDefault="002C0E1B" w:rsidP="00EA54F2">
            <w:pPr>
              <w:spacing w:after="80" w:line="200" w:lineRule="exact"/>
              <w:jc w:val="center"/>
              <w:rPr>
                <w:szCs w:val="20"/>
              </w:rPr>
            </w:pPr>
            <w:r w:rsidRPr="00D90739">
              <w:rPr>
                <w:szCs w:val="20"/>
              </w:rPr>
              <w:t>0,56</w:t>
            </w:r>
          </w:p>
        </w:tc>
        <w:tc>
          <w:tcPr>
            <w:tcW w:w="1276" w:type="dxa"/>
            <w:vMerge w:val="restart"/>
            <w:tcBorders>
              <w:top w:val="single" w:sz="2" w:space="0" w:color="auto"/>
            </w:tcBorders>
          </w:tcPr>
          <w:p w14:paraId="4F492D89" w14:textId="77777777" w:rsidR="002C0E1B" w:rsidRPr="00D90739" w:rsidRDefault="002C0E1B" w:rsidP="00EA54F2">
            <w:pPr>
              <w:spacing w:after="80" w:line="200" w:lineRule="exact"/>
              <w:jc w:val="center"/>
              <w:rPr>
                <w:rStyle w:val="fontstyle01"/>
                <w:sz w:val="20"/>
                <w:szCs w:val="20"/>
              </w:rPr>
            </w:pPr>
            <w:r w:rsidRPr="00D90739">
              <w:rPr>
                <w:szCs w:val="20"/>
              </w:rPr>
              <w:t>0,6</w:t>
            </w:r>
          </w:p>
        </w:tc>
      </w:tr>
      <w:tr w:rsidR="002C0E1B" w:rsidRPr="00D90739" w14:paraId="7ABA2A41" w14:textId="77777777" w:rsidTr="00FD4391">
        <w:trPr>
          <w:jc w:val="center"/>
        </w:trPr>
        <w:tc>
          <w:tcPr>
            <w:tcW w:w="1134" w:type="dxa"/>
          </w:tcPr>
          <w:p w14:paraId="474EA234" w14:textId="77777777" w:rsidR="002C0E1B" w:rsidRPr="00D90739" w:rsidRDefault="002C0E1B" w:rsidP="00EA54F2">
            <w:pPr>
              <w:spacing w:after="80" w:line="200" w:lineRule="exact"/>
              <w:rPr>
                <w:rStyle w:val="fontstyle01"/>
                <w:sz w:val="20"/>
                <w:szCs w:val="20"/>
              </w:rPr>
            </w:pPr>
            <w:r w:rsidRPr="00D90739">
              <w:rPr>
                <w:rStyle w:val="fontstyle01"/>
                <w:sz w:val="20"/>
                <w:szCs w:val="20"/>
              </w:rPr>
              <w:t>CC</w:t>
            </w:r>
          </w:p>
        </w:tc>
        <w:tc>
          <w:tcPr>
            <w:tcW w:w="1701" w:type="dxa"/>
          </w:tcPr>
          <w:p w14:paraId="2EB1707F" w14:textId="77777777" w:rsidR="002C0E1B" w:rsidRPr="00D90739" w:rsidRDefault="002C0E1B" w:rsidP="00EA54F2">
            <w:pPr>
              <w:spacing w:after="80" w:line="200" w:lineRule="exact"/>
              <w:jc w:val="center"/>
              <w:rPr>
                <w:szCs w:val="20"/>
              </w:rPr>
            </w:pPr>
            <w:r w:rsidRPr="00D90739">
              <w:rPr>
                <w:szCs w:val="20"/>
              </w:rPr>
              <w:t>7,71</w:t>
            </w:r>
          </w:p>
        </w:tc>
        <w:tc>
          <w:tcPr>
            <w:tcW w:w="2152" w:type="dxa"/>
          </w:tcPr>
          <w:p w14:paraId="6835762D" w14:textId="77777777" w:rsidR="002C0E1B" w:rsidRPr="00D90739" w:rsidRDefault="002C0E1B" w:rsidP="00EA54F2">
            <w:pPr>
              <w:spacing w:after="80" w:line="200" w:lineRule="exact"/>
              <w:jc w:val="center"/>
              <w:rPr>
                <w:szCs w:val="20"/>
              </w:rPr>
            </w:pPr>
            <w:r w:rsidRPr="00D90739">
              <w:rPr>
                <w:szCs w:val="20"/>
              </w:rPr>
              <w:t>0,37</w:t>
            </w:r>
          </w:p>
        </w:tc>
        <w:tc>
          <w:tcPr>
            <w:tcW w:w="1387" w:type="dxa"/>
          </w:tcPr>
          <w:p w14:paraId="66038578" w14:textId="77777777" w:rsidR="002C0E1B" w:rsidRPr="00D90739" w:rsidRDefault="002C0E1B" w:rsidP="00EA54F2">
            <w:pPr>
              <w:spacing w:after="80" w:line="200" w:lineRule="exact"/>
              <w:jc w:val="center"/>
              <w:rPr>
                <w:szCs w:val="20"/>
              </w:rPr>
            </w:pPr>
            <w:r w:rsidRPr="00D90739">
              <w:rPr>
                <w:szCs w:val="20"/>
              </w:rPr>
              <w:t>0,42</w:t>
            </w:r>
          </w:p>
        </w:tc>
        <w:tc>
          <w:tcPr>
            <w:tcW w:w="1276" w:type="dxa"/>
            <w:vMerge/>
          </w:tcPr>
          <w:p w14:paraId="302446BA" w14:textId="77777777" w:rsidR="002C0E1B" w:rsidRPr="00D90739" w:rsidRDefault="002C0E1B" w:rsidP="00F534A1">
            <w:pPr>
              <w:spacing w:after="80" w:line="200" w:lineRule="exact"/>
              <w:ind w:firstLine="284"/>
              <w:jc w:val="both"/>
              <w:rPr>
                <w:rStyle w:val="fontstyle01"/>
                <w:sz w:val="20"/>
                <w:szCs w:val="20"/>
              </w:rPr>
            </w:pPr>
          </w:p>
        </w:tc>
      </w:tr>
    </w:tbl>
    <w:p w14:paraId="52F3F3E7" w14:textId="77777777" w:rsidR="00B9660B" w:rsidRDefault="00B9660B" w:rsidP="00D90739">
      <w:pPr>
        <w:ind w:firstLine="357"/>
        <w:jc w:val="both"/>
        <w:rPr>
          <w:i/>
          <w:iCs/>
          <w:szCs w:val="22"/>
        </w:rPr>
      </w:pPr>
    </w:p>
    <w:p w14:paraId="73E0BB28" w14:textId="77777777" w:rsidR="002C0E1B" w:rsidRPr="00F55C69" w:rsidRDefault="002C0E1B" w:rsidP="00D90739">
      <w:pPr>
        <w:ind w:firstLine="357"/>
        <w:jc w:val="both"/>
        <w:rPr>
          <w:i/>
          <w:iCs/>
          <w:szCs w:val="22"/>
        </w:rPr>
      </w:pPr>
      <w:r w:rsidRPr="00F55C69">
        <w:rPr>
          <w:i/>
          <w:iCs/>
          <w:szCs w:val="22"/>
        </w:rPr>
        <w:t>- Evaluation of experimental results:</w:t>
      </w:r>
    </w:p>
    <w:p w14:paraId="0F78F05C" w14:textId="77777777" w:rsidR="002C0E1B" w:rsidRPr="0084614A" w:rsidRDefault="002C0E1B" w:rsidP="00D90739">
      <w:pPr>
        <w:ind w:firstLine="357"/>
        <w:jc w:val="both"/>
        <w:rPr>
          <w:szCs w:val="22"/>
        </w:rPr>
      </w:pPr>
      <w:r w:rsidRPr="0084614A">
        <w:rPr>
          <w:szCs w:val="22"/>
        </w:rPr>
        <w:t xml:space="preserve">Through the data analysis tables </w:t>
      </w:r>
      <w:r w:rsidRPr="00BB2B14">
        <w:rPr>
          <w:szCs w:val="22"/>
        </w:rPr>
        <w:t>and Table 8, the final</w:t>
      </w:r>
      <w:r w:rsidRPr="0084614A">
        <w:rPr>
          <w:szCs w:val="22"/>
        </w:rPr>
        <w:t xml:space="preserve"> evaluation results of the module were conducted, showing that the average score of the EC classes (using the IT competence framework in online teaching) is 8,54 higher than the CC classes is 7,71. Based on the chart of spectral scores in the graph of distribution of scores, as in the graph of frequency distribution, that can be seen clearly: The students achieving good and excellent scores (from B score or higher) in the EC class is higher CC class; on the contrary, the students achieving a C/C+ score was lower in the CC class is higher EC class.</w:t>
      </w:r>
    </w:p>
    <w:p w14:paraId="2DA9B298" w14:textId="77777777" w:rsidR="002C0E1B" w:rsidRDefault="002C0E1B" w:rsidP="00D90739">
      <w:pPr>
        <w:ind w:firstLine="357"/>
        <w:jc w:val="both"/>
        <w:rPr>
          <w:szCs w:val="22"/>
        </w:rPr>
      </w:pPr>
      <w:r w:rsidRPr="0084614A">
        <w:rPr>
          <w:iCs/>
          <w:szCs w:val="22"/>
        </w:rPr>
        <w:t>Experimental assessment results confirmed the feasibility and effectiveness of teaching according to the approach of IT development. It can be concluded that students' learning efficiency has increased, the quality of teaching and learning of classes has been improved in the teaching process.</w:t>
      </w:r>
      <w:r w:rsidRPr="0084614A">
        <w:rPr>
          <w:szCs w:val="22"/>
        </w:rPr>
        <w:t xml:space="preserve"> This proves that the organization of teaching applying the IT competence framework for teachers with online learning model in the direction of teaching and developing skills has had a positive impact, contributing to improving the efficiency and quality of training for pedagogical students</w:t>
      </w:r>
      <w:r>
        <w:rPr>
          <w:szCs w:val="22"/>
        </w:rPr>
        <w:t>.</w:t>
      </w:r>
    </w:p>
    <w:p w14:paraId="62353B65" w14:textId="77777777" w:rsidR="002C0E1B" w:rsidRPr="000103A9" w:rsidRDefault="002C0E1B" w:rsidP="002C0E1B">
      <w:pPr>
        <w:spacing w:before="240" w:after="60"/>
        <w:jc w:val="both"/>
        <w:rPr>
          <w:b/>
          <w:sz w:val="24"/>
          <w:szCs w:val="22"/>
        </w:rPr>
      </w:pPr>
      <w:r w:rsidRPr="000103A9">
        <w:rPr>
          <w:b/>
          <w:sz w:val="24"/>
          <w:szCs w:val="22"/>
        </w:rPr>
        <w:t>5.</w:t>
      </w:r>
      <w:r w:rsidRPr="000103A9">
        <w:rPr>
          <w:b/>
          <w:sz w:val="24"/>
          <w:szCs w:val="22"/>
        </w:rPr>
        <w:tab/>
      </w:r>
      <w:commentRangeStart w:id="5"/>
      <w:r w:rsidRPr="000103A9">
        <w:rPr>
          <w:b/>
          <w:sz w:val="24"/>
          <w:szCs w:val="22"/>
        </w:rPr>
        <w:t>Discussions</w:t>
      </w:r>
      <w:commentRangeEnd w:id="5"/>
      <w:r w:rsidR="00D4584A">
        <w:rPr>
          <w:rStyle w:val="CommentReference"/>
        </w:rPr>
        <w:commentReference w:id="5"/>
      </w:r>
    </w:p>
    <w:p w14:paraId="2F348B27" w14:textId="77777777" w:rsidR="002C0E1B" w:rsidRDefault="002C0E1B" w:rsidP="00D90739">
      <w:pPr>
        <w:jc w:val="both"/>
        <w:rPr>
          <w:szCs w:val="22"/>
        </w:rPr>
      </w:pPr>
      <w:r w:rsidRPr="0084614A">
        <w:rPr>
          <w:szCs w:val="22"/>
        </w:rPr>
        <w:t>The identifying the structure of using IT competence framework of teacher in online teaching is designed to exploit the application of IT in online teaching to meet the trend of education period with the public digitization, which is the core of IT and communication, addressing the main objectives of teaching in general and in online teaching in particular in the direction of competence development, including: Knowledge and skills to use basic IT suitable for career objectives; Integrate pedagogical knowledge and skills with technology to improve teaching and learning; Apply technology to handle, store, respond and assessment learning outcomes; Use technology to improve communication, collaboration and effectiveness in teaching; Effectively exploit the application of IT in teaching in accordance with the period of digital technology</w:t>
      </w:r>
      <w:r w:rsidR="00C35A21">
        <w:rPr>
          <w:szCs w:val="22"/>
        </w:rPr>
        <w:t>.</w:t>
      </w:r>
    </w:p>
    <w:p w14:paraId="0DCB1B82" w14:textId="77777777" w:rsidR="00C35A21" w:rsidRDefault="00C35A21" w:rsidP="00D90739">
      <w:pPr>
        <w:ind w:firstLine="357"/>
        <w:jc w:val="both"/>
        <w:rPr>
          <w:szCs w:val="22"/>
        </w:rPr>
      </w:pPr>
      <w:r w:rsidRPr="0084614A">
        <w:rPr>
          <w:szCs w:val="22"/>
        </w:rPr>
        <w:t xml:space="preserve">In the process identifying the criteria of IT competence framework in online teaching, the following points should be discussed and clarified so that the use of the competence framework is highly effective: It is necessary to develop </w:t>
      </w:r>
      <w:proofErr w:type="spellStart"/>
      <w:r w:rsidRPr="0084614A">
        <w:rPr>
          <w:szCs w:val="22"/>
        </w:rPr>
        <w:t>appropriatly</w:t>
      </w:r>
      <w:proofErr w:type="spellEnd"/>
      <w:r w:rsidRPr="0084614A">
        <w:rPr>
          <w:szCs w:val="22"/>
        </w:rPr>
        <w:t xml:space="preserve"> teaching and learning activities so that learners can express their behaviors or create learning products, which is a testament of ability of learners through online school; A teaching content </w:t>
      </w:r>
      <w:proofErr w:type="spellStart"/>
      <w:r w:rsidRPr="0084614A">
        <w:rPr>
          <w:szCs w:val="22"/>
        </w:rPr>
        <w:t>can not</w:t>
      </w:r>
      <w:proofErr w:type="spellEnd"/>
      <w:r w:rsidRPr="0084614A">
        <w:rPr>
          <w:szCs w:val="22"/>
        </w:rPr>
        <w:t xml:space="preserve"> develop all the elemental competences so the teacher can select some appropriate elemental competence for assessment corresponding to the learning content; The assessment of the development of competence is very elaborate and time-consuming, effort of teachers. Therefore, teachers can encourage self-assessment and peer assessment. At the same time, teachers can use some software to synthesize, manage and process the most effective assessment results in the process of organizing online teaching; It is also important to consider the value of competencies as indicated by participants in the online expert survey, but not the explicit competencies required for online teaching success</w:t>
      </w:r>
      <w:r>
        <w:rPr>
          <w:szCs w:val="22"/>
        </w:rPr>
        <w:t>.</w:t>
      </w:r>
    </w:p>
    <w:p w14:paraId="43EAF084" w14:textId="77777777" w:rsidR="00C35A21" w:rsidRPr="0084614A" w:rsidRDefault="00C35A21" w:rsidP="00D90739">
      <w:pPr>
        <w:ind w:firstLine="357"/>
        <w:jc w:val="both"/>
        <w:rPr>
          <w:szCs w:val="22"/>
        </w:rPr>
      </w:pPr>
      <w:r w:rsidRPr="0084614A">
        <w:rPr>
          <w:szCs w:val="22"/>
        </w:rPr>
        <w:t xml:space="preserve">For the best learning outcomes, online learning environments need to have features that facilitate interaction and collaboration among learners so that they can create a good learning environment. Teachers need to be trained continuously, have sufficient time to prepare and participate in online courses, appropriate class sizes and a well-deserved salary (Colwell, J. L., Jenks, C. F, 2004), the timelines need to be clearly defined so that learners can organize (Shi, S. et </w:t>
      </w:r>
      <w:r w:rsidRPr="0084614A">
        <w:rPr>
          <w:szCs w:val="22"/>
        </w:rPr>
        <w:lastRenderedPageBreak/>
        <w:t>al.’s, 2006), the relationship between undergraduates’ classes and computer competency results showed that there is a significant difference (</w:t>
      </w:r>
      <w:proofErr w:type="spellStart"/>
      <w:r w:rsidRPr="0084614A">
        <w:rPr>
          <w:szCs w:val="22"/>
        </w:rPr>
        <w:t>Erdal</w:t>
      </w:r>
      <w:proofErr w:type="spellEnd"/>
      <w:r w:rsidRPr="0084614A">
        <w:rPr>
          <w:szCs w:val="22"/>
        </w:rPr>
        <w:t xml:space="preserve"> Zorba, 2011), the identify barriers in teaching, new role of teacher in the online learning environment to stimulate reflection of effective strategies to enhance the success of teachers in the transition from the pedagogical platform online learning (</w:t>
      </w:r>
      <w:proofErr w:type="spellStart"/>
      <w:r w:rsidRPr="0084614A">
        <w:rPr>
          <w:szCs w:val="22"/>
        </w:rPr>
        <w:t>Keengwe</w:t>
      </w:r>
      <w:proofErr w:type="spellEnd"/>
      <w:r w:rsidRPr="0084614A">
        <w:rPr>
          <w:szCs w:val="22"/>
        </w:rPr>
        <w:t xml:space="preserve"> &amp; Kidd, 2010) with IT in teaching makes up the success factor of online teaching.</w:t>
      </w:r>
    </w:p>
    <w:p w14:paraId="2719CAD3" w14:textId="77777777" w:rsidR="00C35A21" w:rsidRDefault="00C35A21" w:rsidP="00D90739">
      <w:pPr>
        <w:ind w:firstLine="357"/>
        <w:jc w:val="both"/>
        <w:rPr>
          <w:szCs w:val="22"/>
        </w:rPr>
      </w:pPr>
      <w:r w:rsidRPr="0084614A">
        <w:rPr>
          <w:szCs w:val="22"/>
        </w:rPr>
        <w:t>Online education is an alternative to student learning to focus on critical and creative thinking (Wang, Y. D., 2014). However, online courses are usually driven by technology (Callaway, S. K., 2012) and are more designed for the convenience of online systems and technology (Cole, M. T. et al.’s, 2014). To foster intellectual rigor and develop personal and informative perspectives, further research should explore how to use technology and software to engage students in repeated and ongoing conversations. in many different online formats</w:t>
      </w:r>
      <w:r>
        <w:rPr>
          <w:szCs w:val="22"/>
        </w:rPr>
        <w:t>.</w:t>
      </w:r>
    </w:p>
    <w:p w14:paraId="2386D673" w14:textId="77777777" w:rsidR="00C35A21" w:rsidRPr="00D1287A" w:rsidRDefault="00C35A21" w:rsidP="00C33D28">
      <w:pPr>
        <w:spacing w:before="240" w:after="60"/>
        <w:jc w:val="both"/>
        <w:rPr>
          <w:b/>
          <w:sz w:val="24"/>
          <w:szCs w:val="22"/>
        </w:rPr>
      </w:pPr>
      <w:r w:rsidRPr="00D1287A">
        <w:rPr>
          <w:b/>
          <w:sz w:val="24"/>
          <w:szCs w:val="22"/>
        </w:rPr>
        <w:t>6.</w:t>
      </w:r>
      <w:r w:rsidRPr="00D1287A">
        <w:rPr>
          <w:b/>
          <w:sz w:val="24"/>
          <w:szCs w:val="22"/>
        </w:rPr>
        <w:tab/>
        <w:t>Conclusions</w:t>
      </w:r>
    </w:p>
    <w:p w14:paraId="06DDAC6F" w14:textId="77777777" w:rsidR="00C35A21" w:rsidRDefault="00C35A21" w:rsidP="00C35A21">
      <w:pPr>
        <w:jc w:val="both"/>
        <w:rPr>
          <w:szCs w:val="22"/>
        </w:rPr>
      </w:pPr>
      <w:r w:rsidRPr="0084614A">
        <w:rPr>
          <w:szCs w:val="22"/>
        </w:rPr>
        <w:t xml:space="preserve">The parameters in this paper represent a phase of a multi-stage study aimed at addressing the need for IT competence framework in online teaching with the criteria and skills required to organize successfully teaching online. The results of this study provide the framework for accessing methods and content in the form of IT competence needed to be included in the curriculum for </w:t>
      </w:r>
      <w:proofErr w:type="spellStart"/>
      <w:r w:rsidRPr="0084614A">
        <w:rPr>
          <w:szCs w:val="22"/>
        </w:rPr>
        <w:t>speciality</w:t>
      </w:r>
      <w:proofErr w:type="spellEnd"/>
      <w:r w:rsidRPr="0084614A">
        <w:rPr>
          <w:szCs w:val="22"/>
        </w:rPr>
        <w:t xml:space="preserve"> development. The methodology and results presented in this study may prove useful to educational institutions that determine IT competence to target </w:t>
      </w:r>
      <w:proofErr w:type="spellStart"/>
      <w:r w:rsidRPr="0084614A">
        <w:rPr>
          <w:szCs w:val="22"/>
        </w:rPr>
        <w:t>speciality</w:t>
      </w:r>
      <w:proofErr w:type="spellEnd"/>
      <w:r w:rsidRPr="0084614A">
        <w:rPr>
          <w:szCs w:val="22"/>
        </w:rPr>
        <w:t xml:space="preserve"> development programs. The survey instrument used may serve as the basis of a rating tool that can be given to teachers for the purposes of assessing their unique educational needs in online environment.</w:t>
      </w:r>
    </w:p>
    <w:p w14:paraId="012CC9B6" w14:textId="77777777" w:rsidR="00572B06" w:rsidRDefault="00572B06" w:rsidP="00D90739">
      <w:pPr>
        <w:ind w:firstLine="357"/>
        <w:jc w:val="both"/>
        <w:rPr>
          <w:szCs w:val="22"/>
        </w:rPr>
      </w:pPr>
      <w:r w:rsidRPr="0084614A">
        <w:rPr>
          <w:szCs w:val="22"/>
        </w:rPr>
        <w:t>Through the process of surveying, analyzing, evaluating and proposing to identify the framework of IT competence in online teaching includes 10 component competence groups with 33 criteria indicators according to 3 levels corresponding to each expression of the IT competence framework for teachers in online teaching to achieve, which the research objectives set. The basic ability of applying IT in online teaching, identify the criteria of using IT to help teachers identify the goals set for students in each module, from which to build content teaching and selection of teaching methods more appropriate. At the same time creating opportunities for students to participate and evaluate the process helps students recognize what to do and need to improve to achieve the best results. With the advancement of technology, the main factor is IT, the application of the role of many technological tools to promoting better social interaction and the growth of a learning community should be enhanced. social media and virtual reality environments. This approach is perfectly suited to the requirements of teaching oriented learners</w:t>
      </w:r>
      <w:r>
        <w:rPr>
          <w:szCs w:val="22"/>
        </w:rPr>
        <w:t>.</w:t>
      </w:r>
    </w:p>
    <w:p w14:paraId="2E43051D" w14:textId="77777777" w:rsidR="00572B06" w:rsidRPr="0084614A" w:rsidRDefault="00572B06" w:rsidP="00572B06">
      <w:pPr>
        <w:ind w:firstLine="426"/>
        <w:jc w:val="both"/>
        <w:rPr>
          <w:szCs w:val="22"/>
        </w:rPr>
      </w:pPr>
    </w:p>
    <w:p w14:paraId="5C27F3A4" w14:textId="77777777" w:rsidR="00572B06" w:rsidRPr="00D54C3E" w:rsidRDefault="00572B06" w:rsidP="00572B06">
      <w:pPr>
        <w:widowControl w:val="0"/>
        <w:jc w:val="both"/>
        <w:rPr>
          <w:szCs w:val="22"/>
        </w:rPr>
      </w:pPr>
      <w:r w:rsidRPr="00D54C3E">
        <w:rPr>
          <w:b/>
          <w:szCs w:val="22"/>
        </w:rPr>
        <w:t>Availability of data and material:</w:t>
      </w:r>
      <w:r w:rsidRPr="00D54C3E">
        <w:rPr>
          <w:szCs w:val="22"/>
        </w:rPr>
        <w:t xml:space="preserve"> No</w:t>
      </w:r>
    </w:p>
    <w:p w14:paraId="03BAB236" w14:textId="77777777" w:rsidR="00572B06" w:rsidRPr="00D54C3E" w:rsidRDefault="00572B06" w:rsidP="00572B06">
      <w:pPr>
        <w:jc w:val="both"/>
        <w:rPr>
          <w:szCs w:val="22"/>
        </w:rPr>
      </w:pPr>
      <w:r w:rsidRPr="00D54C3E">
        <w:rPr>
          <w:b/>
          <w:szCs w:val="22"/>
        </w:rPr>
        <w:t>Funding:</w:t>
      </w:r>
      <w:r w:rsidRPr="00D54C3E">
        <w:rPr>
          <w:szCs w:val="22"/>
        </w:rPr>
        <w:t xml:space="preserve"> 0</w:t>
      </w:r>
    </w:p>
    <w:p w14:paraId="2C537252" w14:textId="77777777" w:rsidR="00572B06" w:rsidRPr="00D54C3E" w:rsidRDefault="00572B06" w:rsidP="00572B06">
      <w:pPr>
        <w:jc w:val="both"/>
        <w:rPr>
          <w:szCs w:val="22"/>
        </w:rPr>
      </w:pPr>
      <w:r w:rsidRPr="00D54C3E">
        <w:rPr>
          <w:b/>
          <w:szCs w:val="22"/>
        </w:rPr>
        <w:t>Conflict of Interest</w:t>
      </w:r>
      <w:r w:rsidRPr="00D54C3E">
        <w:rPr>
          <w:szCs w:val="22"/>
        </w:rPr>
        <w:t>: The authors declare that we have no conflict of interest</w:t>
      </w:r>
    </w:p>
    <w:p w14:paraId="1855902E" w14:textId="77777777" w:rsidR="00572B06" w:rsidRPr="00D54C3E" w:rsidRDefault="00572B06" w:rsidP="00572B06">
      <w:pPr>
        <w:jc w:val="both"/>
        <w:rPr>
          <w:b/>
          <w:szCs w:val="22"/>
        </w:rPr>
      </w:pPr>
      <w:r w:rsidRPr="00D54C3E">
        <w:rPr>
          <w:b/>
          <w:szCs w:val="22"/>
        </w:rPr>
        <w:t>Acknowledgments</w:t>
      </w:r>
    </w:p>
    <w:p w14:paraId="2588E6C4" w14:textId="77777777" w:rsidR="00C35A21" w:rsidRDefault="00572B06" w:rsidP="00A523ED">
      <w:pPr>
        <w:jc w:val="both"/>
        <w:rPr>
          <w:szCs w:val="22"/>
        </w:rPr>
      </w:pPr>
      <w:r w:rsidRPr="0084614A">
        <w:rPr>
          <w:szCs w:val="22"/>
        </w:rPr>
        <w:t>This document received valuable contributions from the members of research’s authors group, and many experts have made invaluable contributions. We thank you very much</w:t>
      </w:r>
      <w:r>
        <w:rPr>
          <w:szCs w:val="22"/>
        </w:rPr>
        <w:t>.</w:t>
      </w:r>
    </w:p>
    <w:p w14:paraId="1009AD92" w14:textId="77777777" w:rsidR="00572B06" w:rsidRPr="006E0AA6" w:rsidRDefault="00572B06" w:rsidP="005A58B2">
      <w:pPr>
        <w:spacing w:before="240" w:after="80"/>
        <w:jc w:val="both"/>
        <w:rPr>
          <w:b/>
          <w:sz w:val="24"/>
        </w:rPr>
      </w:pPr>
      <w:r w:rsidRPr="006E0AA6">
        <w:rPr>
          <w:b/>
          <w:sz w:val="24"/>
        </w:rPr>
        <w:t>References</w:t>
      </w:r>
    </w:p>
    <w:p w14:paraId="5E546EA3" w14:textId="77777777" w:rsidR="00572B06" w:rsidRPr="00E403CB" w:rsidRDefault="00572B06" w:rsidP="003E0DF3">
      <w:pPr>
        <w:spacing w:before="120" w:after="120"/>
        <w:jc w:val="both"/>
        <w:rPr>
          <w:szCs w:val="18"/>
        </w:rPr>
      </w:pPr>
      <w:r w:rsidRPr="00E403CB">
        <w:rPr>
          <w:szCs w:val="18"/>
          <w:lang w:val="pt-BR"/>
        </w:rPr>
        <w:t xml:space="preserve">Aaron Lacey &amp; </w:t>
      </w:r>
      <w:r w:rsidRPr="00E403CB">
        <w:rPr>
          <w:noProof/>
          <w:szCs w:val="18"/>
        </w:rPr>
        <w:t xml:space="preserve">Christopher Murray (2015). </w:t>
      </w:r>
      <w:r w:rsidRPr="00E403CB">
        <w:rPr>
          <w:szCs w:val="18"/>
        </w:rPr>
        <w:t>Rethinking the Regulatory Environment of Competency-Based Education</w:t>
      </w:r>
      <w:r w:rsidRPr="00E403CB">
        <w:rPr>
          <w:noProof/>
          <w:szCs w:val="18"/>
        </w:rPr>
        <w:t xml:space="preserve">. </w:t>
      </w:r>
      <w:r w:rsidRPr="00E403CB">
        <w:rPr>
          <w:i/>
          <w:szCs w:val="18"/>
        </w:rPr>
        <w:t>AEI Series on Competency-Based Higher Education</w:t>
      </w:r>
      <w:r w:rsidRPr="00E403CB">
        <w:rPr>
          <w:szCs w:val="18"/>
        </w:rPr>
        <w:t xml:space="preserve">. </w:t>
      </w:r>
      <w:r w:rsidRPr="00E403CB">
        <w:rPr>
          <w:noProof/>
          <w:szCs w:val="18"/>
        </w:rPr>
        <w:t>Center On Higher Education Reform American Enterprise Institute.</w:t>
      </w:r>
    </w:p>
    <w:p w14:paraId="682550AF" w14:textId="77777777" w:rsidR="00572B06" w:rsidRPr="00E403CB" w:rsidRDefault="00572B06" w:rsidP="003E0DF3">
      <w:pPr>
        <w:spacing w:before="120" w:after="120"/>
        <w:jc w:val="both"/>
        <w:rPr>
          <w:szCs w:val="18"/>
        </w:rPr>
      </w:pPr>
      <w:r w:rsidRPr="00E403CB">
        <w:rPr>
          <w:szCs w:val="18"/>
        </w:rPr>
        <w:t xml:space="preserve">Bennett, J., Hogarth, S., </w:t>
      </w:r>
      <w:proofErr w:type="spellStart"/>
      <w:r w:rsidRPr="00E403CB">
        <w:rPr>
          <w:szCs w:val="18"/>
        </w:rPr>
        <w:t>Lubben</w:t>
      </w:r>
      <w:proofErr w:type="spellEnd"/>
      <w:r w:rsidRPr="00E403CB">
        <w:rPr>
          <w:szCs w:val="18"/>
        </w:rPr>
        <w:t xml:space="preserve">, F., Campbell, B., &amp; Robinson, A. (2006). ICT in science teaching. Technical report. In: </w:t>
      </w:r>
      <w:r w:rsidRPr="00E403CB">
        <w:rPr>
          <w:i/>
          <w:szCs w:val="18"/>
        </w:rPr>
        <w:t>Research Evidence in Education Library</w:t>
      </w:r>
      <w:r w:rsidRPr="00E403CB">
        <w:rPr>
          <w:szCs w:val="18"/>
        </w:rPr>
        <w:t xml:space="preserve">. London: </w:t>
      </w:r>
      <w:r w:rsidRPr="00E403CB">
        <w:rPr>
          <w:i/>
          <w:szCs w:val="18"/>
        </w:rPr>
        <w:t>EPPI-Centre, Social Science Research Unit, Institute of Education, University of London</w:t>
      </w:r>
      <w:r w:rsidRPr="00E403CB">
        <w:rPr>
          <w:szCs w:val="18"/>
        </w:rPr>
        <w:t xml:space="preserve">. </w:t>
      </w:r>
    </w:p>
    <w:p w14:paraId="7A9531DF" w14:textId="77777777" w:rsidR="00572B06" w:rsidRPr="00E403CB" w:rsidRDefault="00572B06" w:rsidP="003E0DF3">
      <w:pPr>
        <w:spacing w:before="120" w:after="120"/>
        <w:jc w:val="both"/>
        <w:rPr>
          <w:szCs w:val="18"/>
        </w:rPr>
      </w:pPr>
      <w:r w:rsidRPr="00E403CB">
        <w:rPr>
          <w:szCs w:val="18"/>
        </w:rPr>
        <w:t xml:space="preserve">Callaway, S. K. (2012). Implications of online learning: </w:t>
      </w:r>
      <w:r w:rsidRPr="00E403CB">
        <w:rPr>
          <w:i/>
          <w:szCs w:val="18"/>
        </w:rPr>
        <w:t xml:space="preserve">Measuring Student Satisfaction </w:t>
      </w:r>
      <w:r w:rsidRPr="00E403CB">
        <w:rPr>
          <w:i/>
          <w:szCs w:val="18"/>
          <w:lang w:val="vi-VN"/>
        </w:rPr>
        <w:t>a</w:t>
      </w:r>
      <w:proofErr w:type="spellStart"/>
      <w:r w:rsidRPr="00E403CB">
        <w:rPr>
          <w:i/>
          <w:szCs w:val="18"/>
        </w:rPr>
        <w:t>nd</w:t>
      </w:r>
      <w:proofErr w:type="spellEnd"/>
      <w:r w:rsidRPr="00E403CB">
        <w:rPr>
          <w:i/>
          <w:szCs w:val="18"/>
        </w:rPr>
        <w:t xml:space="preserve"> Learning </w:t>
      </w:r>
      <w:r w:rsidRPr="00E403CB">
        <w:rPr>
          <w:i/>
          <w:szCs w:val="18"/>
          <w:lang w:val="vi-VN"/>
        </w:rPr>
        <w:t>f</w:t>
      </w:r>
      <w:r w:rsidRPr="00E403CB">
        <w:rPr>
          <w:i/>
          <w:szCs w:val="18"/>
        </w:rPr>
        <w:t xml:space="preserve">or Online </w:t>
      </w:r>
      <w:r w:rsidRPr="00E403CB">
        <w:rPr>
          <w:i/>
          <w:szCs w:val="18"/>
          <w:lang w:val="vi-VN"/>
        </w:rPr>
        <w:t>a</w:t>
      </w:r>
      <w:proofErr w:type="spellStart"/>
      <w:r w:rsidRPr="00E403CB">
        <w:rPr>
          <w:i/>
          <w:szCs w:val="18"/>
        </w:rPr>
        <w:t>nd</w:t>
      </w:r>
      <w:proofErr w:type="spellEnd"/>
      <w:r w:rsidRPr="00E403CB">
        <w:rPr>
          <w:i/>
          <w:szCs w:val="18"/>
        </w:rPr>
        <w:t xml:space="preserve"> Traditional Students</w:t>
      </w:r>
      <w:r w:rsidRPr="00E403CB">
        <w:rPr>
          <w:szCs w:val="18"/>
        </w:rPr>
        <w:t>. Insights to a Changing World Journal, 2. Distance Education, 35(3), 345-359.</w:t>
      </w:r>
    </w:p>
    <w:p w14:paraId="48A73238" w14:textId="77777777" w:rsidR="00572B06" w:rsidRPr="00E403CB" w:rsidRDefault="00572B06" w:rsidP="003E0DF3">
      <w:pPr>
        <w:spacing w:before="120" w:after="120"/>
        <w:jc w:val="both"/>
        <w:rPr>
          <w:szCs w:val="18"/>
        </w:rPr>
      </w:pPr>
      <w:r w:rsidRPr="00E403CB">
        <w:rPr>
          <w:szCs w:val="18"/>
        </w:rPr>
        <w:t>Cole, M. T., Shelley, D. J., &amp; Swartz, L. B. (2014).</w:t>
      </w:r>
      <w:r w:rsidRPr="00E403CB">
        <w:rPr>
          <w:szCs w:val="18"/>
          <w:lang w:val="vi-VN"/>
        </w:rPr>
        <w:t xml:space="preserve"> </w:t>
      </w:r>
      <w:r w:rsidRPr="00E403CB">
        <w:rPr>
          <w:szCs w:val="18"/>
        </w:rPr>
        <w:t xml:space="preserve">Online Instruction, E-learning, and Student Satisfaction: A three-year study. </w:t>
      </w:r>
      <w:r w:rsidRPr="00E403CB">
        <w:rPr>
          <w:i/>
          <w:szCs w:val="18"/>
        </w:rPr>
        <w:t>The International Review of Research in Open and Distance Learning,</w:t>
      </w:r>
      <w:r w:rsidRPr="00E403CB">
        <w:rPr>
          <w:szCs w:val="18"/>
        </w:rPr>
        <w:t xml:space="preserve"> 15(6), 111-131.</w:t>
      </w:r>
    </w:p>
    <w:p w14:paraId="513E7213" w14:textId="77777777" w:rsidR="00572B06" w:rsidRPr="00E403CB" w:rsidRDefault="00572B06" w:rsidP="003E0DF3">
      <w:pPr>
        <w:spacing w:before="120" w:after="120"/>
        <w:jc w:val="both"/>
        <w:rPr>
          <w:szCs w:val="18"/>
        </w:rPr>
      </w:pPr>
      <w:r w:rsidRPr="00E403CB">
        <w:rPr>
          <w:szCs w:val="18"/>
        </w:rPr>
        <w:t xml:space="preserve">Colwell, J. L., Jenks, C. F (2004). </w:t>
      </w:r>
      <w:r w:rsidRPr="00E403CB">
        <w:rPr>
          <w:i/>
          <w:szCs w:val="18"/>
        </w:rPr>
        <w:t xml:space="preserve">Using Peer Evaluations </w:t>
      </w:r>
      <w:r w:rsidRPr="00E403CB">
        <w:rPr>
          <w:i/>
          <w:szCs w:val="18"/>
          <w:lang w:val="vi-VN"/>
        </w:rPr>
        <w:t>a</w:t>
      </w:r>
      <w:proofErr w:type="spellStart"/>
      <w:r w:rsidRPr="00E403CB">
        <w:rPr>
          <w:i/>
          <w:szCs w:val="18"/>
        </w:rPr>
        <w:t>nd</w:t>
      </w:r>
      <w:proofErr w:type="spellEnd"/>
      <w:r w:rsidRPr="00E403CB">
        <w:rPr>
          <w:i/>
          <w:szCs w:val="18"/>
        </w:rPr>
        <w:t xml:space="preserve"> Teams </w:t>
      </w:r>
      <w:r w:rsidRPr="00E403CB">
        <w:rPr>
          <w:i/>
          <w:szCs w:val="18"/>
          <w:lang w:val="vi-VN"/>
        </w:rPr>
        <w:t>i</w:t>
      </w:r>
      <w:r w:rsidRPr="00E403CB">
        <w:rPr>
          <w:i/>
          <w:szCs w:val="18"/>
        </w:rPr>
        <w:t>n Online Classes</w:t>
      </w:r>
      <w:r w:rsidRPr="00E403CB">
        <w:rPr>
          <w:szCs w:val="18"/>
        </w:rPr>
        <w:t>. Paper presented at the, 1 T1C-5-T1C-9.</w:t>
      </w:r>
    </w:p>
    <w:p w14:paraId="63AB13AC" w14:textId="77777777" w:rsidR="00572B06" w:rsidRPr="00E403CB" w:rsidRDefault="00572B06" w:rsidP="003E0DF3">
      <w:pPr>
        <w:spacing w:before="120" w:after="120"/>
        <w:jc w:val="both"/>
        <w:rPr>
          <w:szCs w:val="18"/>
        </w:rPr>
      </w:pPr>
      <w:r w:rsidRPr="00E403CB">
        <w:rPr>
          <w:szCs w:val="18"/>
        </w:rPr>
        <w:t xml:space="preserve">Craig </w:t>
      </w:r>
      <w:proofErr w:type="spellStart"/>
      <w:r w:rsidRPr="00E403CB">
        <w:rPr>
          <w:szCs w:val="18"/>
        </w:rPr>
        <w:t>Blurton</w:t>
      </w:r>
      <w:proofErr w:type="spellEnd"/>
      <w:r w:rsidRPr="00E403CB">
        <w:rPr>
          <w:szCs w:val="18"/>
        </w:rPr>
        <w:t xml:space="preserve"> (2002). </w:t>
      </w:r>
      <w:r w:rsidRPr="00E403CB">
        <w:rPr>
          <w:i/>
          <w:szCs w:val="18"/>
        </w:rPr>
        <w:t>New Directions of IT-Use in Education</w:t>
      </w:r>
      <w:r w:rsidRPr="00E403CB">
        <w:rPr>
          <w:szCs w:val="18"/>
        </w:rPr>
        <w:t>, Paper presented at</w:t>
      </w:r>
      <w:r w:rsidRPr="00E403CB">
        <w:rPr>
          <w:szCs w:val="18"/>
          <w:lang w:val="vi-VN"/>
        </w:rPr>
        <w:t xml:space="preserve"> web </w:t>
      </w:r>
      <w:r w:rsidR="003B1EAA">
        <w:fldChar w:fldCharType="begin"/>
      </w:r>
      <w:r w:rsidR="003B1EAA">
        <w:instrText xml:space="preserve"> HYPERLINK "http://www.unesco.org/education/educprog/lwf/dl/edit.pdf" </w:instrText>
      </w:r>
      <w:r w:rsidR="003B1EAA">
        <w:fldChar w:fldCharType="separate"/>
      </w:r>
      <w:r w:rsidRPr="00E403CB">
        <w:rPr>
          <w:rStyle w:val="Hyperlink"/>
          <w:szCs w:val="18"/>
        </w:rPr>
        <w:t>http://www.unesco.org/education/educprog/lwf/dl/edit.pdf</w:t>
      </w:r>
      <w:r w:rsidR="003B1EAA">
        <w:rPr>
          <w:rStyle w:val="Hyperlink"/>
          <w:szCs w:val="18"/>
        </w:rPr>
        <w:fldChar w:fldCharType="end"/>
      </w:r>
      <w:r w:rsidRPr="00E403CB">
        <w:rPr>
          <w:szCs w:val="18"/>
        </w:rPr>
        <w:t xml:space="preserve"> </w:t>
      </w:r>
    </w:p>
    <w:p w14:paraId="351EA658" w14:textId="77777777" w:rsidR="00572B06" w:rsidRPr="00E403CB" w:rsidRDefault="00572B06" w:rsidP="003E0DF3">
      <w:pPr>
        <w:spacing w:before="120" w:after="120"/>
        <w:jc w:val="both"/>
        <w:rPr>
          <w:szCs w:val="18"/>
        </w:rPr>
      </w:pPr>
      <w:r w:rsidRPr="00E403CB">
        <w:rPr>
          <w:szCs w:val="18"/>
        </w:rPr>
        <w:t xml:space="preserve">Dooly, M. (2009). New competencies in a new era. </w:t>
      </w:r>
      <w:r w:rsidRPr="00E403CB">
        <w:rPr>
          <w:i/>
          <w:szCs w:val="18"/>
        </w:rPr>
        <w:t xml:space="preserve">Examining the impact of a teacher training project. </w:t>
      </w:r>
      <w:proofErr w:type="spellStart"/>
      <w:r w:rsidRPr="00E403CB">
        <w:rPr>
          <w:i/>
          <w:szCs w:val="18"/>
        </w:rPr>
        <w:t>ReCALL</w:t>
      </w:r>
      <w:proofErr w:type="spellEnd"/>
      <w:r w:rsidRPr="00E403CB">
        <w:rPr>
          <w:i/>
          <w:szCs w:val="18"/>
        </w:rPr>
        <w:t>,</w:t>
      </w:r>
      <w:r w:rsidRPr="00E403CB">
        <w:rPr>
          <w:szCs w:val="18"/>
        </w:rPr>
        <w:t xml:space="preserve"> 21(3), 352–369.</w:t>
      </w:r>
    </w:p>
    <w:p w14:paraId="73E05748" w14:textId="77777777" w:rsidR="00572B06" w:rsidRPr="00E403CB" w:rsidRDefault="00572B06" w:rsidP="003E0DF3">
      <w:pPr>
        <w:spacing w:before="120" w:after="120"/>
        <w:jc w:val="both"/>
        <w:rPr>
          <w:szCs w:val="18"/>
        </w:rPr>
      </w:pPr>
      <w:r w:rsidRPr="00E403CB">
        <w:rPr>
          <w:szCs w:val="18"/>
        </w:rPr>
        <w:t xml:space="preserve">Dooly, M. (2010). Teacher 2.0. In F. Helm, &amp; S. </w:t>
      </w:r>
      <w:proofErr w:type="spellStart"/>
      <w:r w:rsidRPr="00E403CB">
        <w:rPr>
          <w:szCs w:val="18"/>
        </w:rPr>
        <w:t>Guth</w:t>
      </w:r>
      <w:proofErr w:type="spellEnd"/>
      <w:r w:rsidRPr="00E403CB">
        <w:rPr>
          <w:szCs w:val="18"/>
        </w:rPr>
        <w:t xml:space="preserve"> (Eds.), </w:t>
      </w:r>
      <w:proofErr w:type="spellStart"/>
      <w:r w:rsidRPr="00E403CB">
        <w:rPr>
          <w:szCs w:val="18"/>
        </w:rPr>
        <w:t>Telecollaboration</w:t>
      </w:r>
      <w:proofErr w:type="spellEnd"/>
      <w:r w:rsidRPr="00E403CB">
        <w:rPr>
          <w:szCs w:val="18"/>
        </w:rPr>
        <w:t xml:space="preserve"> 2.0: </w:t>
      </w:r>
      <w:r w:rsidRPr="00E403CB">
        <w:rPr>
          <w:i/>
          <w:szCs w:val="18"/>
        </w:rPr>
        <w:t>Language, literacies and intercultural learning in the 21st century</w:t>
      </w:r>
      <w:r w:rsidRPr="00E403CB">
        <w:rPr>
          <w:szCs w:val="18"/>
        </w:rPr>
        <w:t xml:space="preserve"> (pp. 277–304). Bern, Switzerland: Peter Lang.</w:t>
      </w:r>
    </w:p>
    <w:p w14:paraId="008152C8" w14:textId="77777777" w:rsidR="00572B06" w:rsidRPr="00E403CB" w:rsidRDefault="00572B06" w:rsidP="003E0DF3">
      <w:pPr>
        <w:spacing w:before="120" w:after="120"/>
        <w:jc w:val="both"/>
        <w:rPr>
          <w:szCs w:val="18"/>
        </w:rPr>
      </w:pPr>
      <w:r w:rsidRPr="00E403CB">
        <w:rPr>
          <w:szCs w:val="18"/>
        </w:rPr>
        <w:lastRenderedPageBreak/>
        <w:t xml:space="preserve">Education and Training Ministry, Vietnam (2015). </w:t>
      </w:r>
      <w:r w:rsidRPr="00E403CB">
        <w:rPr>
          <w:i/>
          <w:szCs w:val="18"/>
        </w:rPr>
        <w:t>The scheme on renewal of general education program and textbooks,</w:t>
      </w:r>
      <w:r w:rsidRPr="00E403CB">
        <w:rPr>
          <w:szCs w:val="18"/>
        </w:rPr>
        <w:t xml:space="preserve"> promulgated</w:t>
      </w:r>
      <w:r w:rsidRPr="00E403CB">
        <w:rPr>
          <w:i/>
          <w:szCs w:val="18"/>
        </w:rPr>
        <w:t xml:space="preserve"> </w:t>
      </w:r>
      <w:r w:rsidRPr="00E403CB">
        <w:rPr>
          <w:szCs w:val="18"/>
        </w:rPr>
        <w:t>with the Prime Minister's Decision No. 404/QD-</w:t>
      </w:r>
      <w:proofErr w:type="spellStart"/>
      <w:r w:rsidRPr="00E403CB">
        <w:rPr>
          <w:szCs w:val="18"/>
        </w:rPr>
        <w:t>TTg</w:t>
      </w:r>
      <w:proofErr w:type="spellEnd"/>
      <w:r w:rsidRPr="00E403CB">
        <w:rPr>
          <w:szCs w:val="18"/>
        </w:rPr>
        <w:t>.</w:t>
      </w:r>
    </w:p>
    <w:p w14:paraId="7C516C3D" w14:textId="77777777" w:rsidR="00572B06" w:rsidRPr="00E403CB" w:rsidRDefault="00572B06" w:rsidP="003E0DF3">
      <w:pPr>
        <w:spacing w:before="120" w:after="120"/>
        <w:jc w:val="both"/>
        <w:rPr>
          <w:i/>
          <w:szCs w:val="18"/>
        </w:rPr>
      </w:pPr>
      <w:proofErr w:type="spellStart"/>
      <w:r w:rsidRPr="00E403CB">
        <w:rPr>
          <w:szCs w:val="18"/>
        </w:rPr>
        <w:t>Erdal</w:t>
      </w:r>
      <w:proofErr w:type="spellEnd"/>
      <w:r w:rsidRPr="00E403CB">
        <w:rPr>
          <w:szCs w:val="18"/>
        </w:rPr>
        <w:t xml:space="preserve"> Zorba (2011). Identifying the computer competency levels of recreation. Department undergraduates.</w:t>
      </w:r>
      <w:r w:rsidRPr="00E403CB">
        <w:rPr>
          <w:i/>
          <w:szCs w:val="18"/>
        </w:rPr>
        <w:t xml:space="preserve"> </w:t>
      </w:r>
      <w:r w:rsidRPr="00E403CB">
        <w:rPr>
          <w:szCs w:val="18"/>
        </w:rPr>
        <w:t xml:space="preserve">TOJET: </w:t>
      </w:r>
      <w:r w:rsidRPr="00E403CB">
        <w:rPr>
          <w:i/>
          <w:szCs w:val="18"/>
        </w:rPr>
        <w:t xml:space="preserve">The Turkish Online Journal of Educational Technology, </w:t>
      </w:r>
      <w:proofErr w:type="spellStart"/>
      <w:r w:rsidRPr="00E403CB">
        <w:rPr>
          <w:i/>
          <w:szCs w:val="18"/>
        </w:rPr>
        <w:t>vol</w:t>
      </w:r>
      <w:proofErr w:type="spellEnd"/>
      <w:r w:rsidRPr="00E403CB">
        <w:rPr>
          <w:i/>
          <w:szCs w:val="18"/>
        </w:rPr>
        <w:t xml:space="preserve"> 10 Issue 4.</w:t>
      </w:r>
    </w:p>
    <w:p w14:paraId="5AB25918" w14:textId="77777777" w:rsidR="00572B06" w:rsidRPr="00E403CB" w:rsidRDefault="00572B06" w:rsidP="003E0DF3">
      <w:pPr>
        <w:spacing w:before="120" w:after="120"/>
        <w:jc w:val="both"/>
        <w:rPr>
          <w:szCs w:val="18"/>
        </w:rPr>
      </w:pPr>
      <w:r w:rsidRPr="00E403CB">
        <w:rPr>
          <w:szCs w:val="18"/>
        </w:rPr>
        <w:t xml:space="preserve">Fuchs, C., Hauck, M., &amp; Müller-Hartmann, A. (2012). </w:t>
      </w:r>
      <w:r w:rsidRPr="00E403CB">
        <w:rPr>
          <w:i/>
          <w:szCs w:val="18"/>
        </w:rPr>
        <w:t xml:space="preserve">Promoting learner autonomy through </w:t>
      </w:r>
      <w:proofErr w:type="spellStart"/>
      <w:r w:rsidRPr="00E403CB">
        <w:rPr>
          <w:i/>
          <w:szCs w:val="18"/>
        </w:rPr>
        <w:t>multiliteracy</w:t>
      </w:r>
      <w:proofErr w:type="spellEnd"/>
      <w:r w:rsidRPr="00E403CB">
        <w:rPr>
          <w:i/>
          <w:szCs w:val="18"/>
        </w:rPr>
        <w:t xml:space="preserve"> skills development in cross-institutional exchanges.</w:t>
      </w:r>
      <w:r w:rsidRPr="00E403CB">
        <w:rPr>
          <w:szCs w:val="18"/>
        </w:rPr>
        <w:t xml:space="preserve"> Language Learning &amp; Technology, 16(3), 82–102. Retrieved from </w:t>
      </w:r>
      <w:hyperlink r:id="rId21" w:history="1">
        <w:r w:rsidRPr="00E403CB">
          <w:rPr>
            <w:rStyle w:val="Hyperlink"/>
            <w:szCs w:val="18"/>
          </w:rPr>
          <w:t>http://llt.msu.edu/issues/october2012/fuchsetal.pdf</w:t>
        </w:r>
      </w:hyperlink>
      <w:r w:rsidRPr="00E403CB">
        <w:rPr>
          <w:szCs w:val="18"/>
        </w:rPr>
        <w:t>.</w:t>
      </w:r>
    </w:p>
    <w:p w14:paraId="0710D98B" w14:textId="77777777" w:rsidR="00572B06" w:rsidRPr="00E403CB" w:rsidRDefault="00572B06" w:rsidP="003E0DF3">
      <w:pPr>
        <w:spacing w:before="120" w:after="120"/>
        <w:jc w:val="both"/>
        <w:rPr>
          <w:szCs w:val="18"/>
        </w:rPr>
      </w:pPr>
      <w:r w:rsidRPr="00E403CB">
        <w:rPr>
          <w:szCs w:val="18"/>
        </w:rPr>
        <w:t xml:space="preserve">Gascoigne C. &amp; Parnell, J (2014). </w:t>
      </w:r>
      <w:hyperlink r:id="rId22" w:tgtFrame="_blank" w:history="1">
        <w:r w:rsidRPr="00E403CB">
          <w:rPr>
            <w:szCs w:val="18"/>
          </w:rPr>
          <w:t>Distance education readiness assessments: An overview and application</w:t>
        </w:r>
      </w:hyperlink>
      <w:r w:rsidRPr="00E403CB">
        <w:rPr>
          <w:szCs w:val="18"/>
        </w:rPr>
        <w:t>. </w:t>
      </w:r>
      <w:r w:rsidRPr="00E403CB">
        <w:rPr>
          <w:i/>
          <w:szCs w:val="18"/>
        </w:rPr>
        <w:t>Online Journal of Distance Learning Administration, Vol. XVII, (IV)</w:t>
      </w:r>
      <w:r w:rsidRPr="00E403CB">
        <w:rPr>
          <w:szCs w:val="18"/>
        </w:rPr>
        <w:t>.</w:t>
      </w:r>
    </w:p>
    <w:p w14:paraId="2C766B96" w14:textId="77777777" w:rsidR="00572B06" w:rsidRPr="00E403CB" w:rsidRDefault="00572B06" w:rsidP="003E0DF3">
      <w:pPr>
        <w:spacing w:before="120" w:after="120"/>
        <w:jc w:val="both"/>
        <w:rPr>
          <w:szCs w:val="18"/>
        </w:rPr>
      </w:pPr>
      <w:proofErr w:type="spellStart"/>
      <w:r w:rsidRPr="00E403CB">
        <w:rPr>
          <w:szCs w:val="18"/>
        </w:rPr>
        <w:t>Geçer</w:t>
      </w:r>
      <w:proofErr w:type="spellEnd"/>
      <w:r w:rsidRPr="00E403CB">
        <w:rPr>
          <w:szCs w:val="18"/>
        </w:rPr>
        <w:t xml:space="preserve"> </w:t>
      </w:r>
      <w:proofErr w:type="spellStart"/>
      <w:r w:rsidRPr="00E403CB">
        <w:rPr>
          <w:szCs w:val="18"/>
        </w:rPr>
        <w:t>Kolburan</w:t>
      </w:r>
      <w:proofErr w:type="spellEnd"/>
      <w:r w:rsidRPr="00E403CB">
        <w:rPr>
          <w:szCs w:val="18"/>
        </w:rPr>
        <w:t xml:space="preserve"> A., </w:t>
      </w:r>
      <w:proofErr w:type="spellStart"/>
      <w:r w:rsidRPr="00E403CB">
        <w:rPr>
          <w:szCs w:val="18"/>
        </w:rPr>
        <w:t>Dağ</w:t>
      </w:r>
      <w:proofErr w:type="spellEnd"/>
      <w:r w:rsidRPr="00E403CB">
        <w:rPr>
          <w:szCs w:val="18"/>
        </w:rPr>
        <w:t xml:space="preserve"> F. (2010). ‘</w:t>
      </w:r>
      <w:proofErr w:type="spellStart"/>
      <w:r w:rsidRPr="00E403CB">
        <w:rPr>
          <w:szCs w:val="18"/>
        </w:rPr>
        <w:t>Identifiying</w:t>
      </w:r>
      <w:proofErr w:type="spellEnd"/>
      <w:r w:rsidRPr="00E403CB">
        <w:rPr>
          <w:szCs w:val="18"/>
        </w:rPr>
        <w:t xml:space="preserve"> the Computer Literacy Skill Levels of University Undergraduates, The Case of </w:t>
      </w:r>
      <w:proofErr w:type="spellStart"/>
      <w:r w:rsidRPr="00E403CB">
        <w:rPr>
          <w:szCs w:val="18"/>
        </w:rPr>
        <w:t>Kocaeli</w:t>
      </w:r>
      <w:proofErr w:type="spellEnd"/>
      <w:r w:rsidRPr="00E403CB">
        <w:rPr>
          <w:szCs w:val="18"/>
        </w:rPr>
        <w:t xml:space="preserve"> University’, </w:t>
      </w:r>
      <w:proofErr w:type="spellStart"/>
      <w:r w:rsidRPr="00E403CB">
        <w:rPr>
          <w:i/>
          <w:szCs w:val="18"/>
        </w:rPr>
        <w:t>Yüzüncü</w:t>
      </w:r>
      <w:proofErr w:type="spellEnd"/>
      <w:r w:rsidRPr="00E403CB">
        <w:rPr>
          <w:i/>
          <w:szCs w:val="18"/>
        </w:rPr>
        <w:t xml:space="preserve"> </w:t>
      </w:r>
      <w:proofErr w:type="spellStart"/>
      <w:r w:rsidRPr="00E403CB">
        <w:rPr>
          <w:i/>
          <w:szCs w:val="18"/>
        </w:rPr>
        <w:t>Yıl</w:t>
      </w:r>
      <w:proofErr w:type="spellEnd"/>
      <w:r w:rsidRPr="00E403CB">
        <w:rPr>
          <w:i/>
          <w:szCs w:val="18"/>
        </w:rPr>
        <w:t xml:space="preserve"> </w:t>
      </w:r>
      <w:proofErr w:type="spellStart"/>
      <w:r w:rsidRPr="00E403CB">
        <w:rPr>
          <w:i/>
          <w:szCs w:val="18"/>
        </w:rPr>
        <w:t>Üniversitesi</w:t>
      </w:r>
      <w:proofErr w:type="spellEnd"/>
      <w:r w:rsidRPr="00E403CB">
        <w:rPr>
          <w:i/>
          <w:szCs w:val="18"/>
        </w:rPr>
        <w:t xml:space="preserve">, </w:t>
      </w:r>
      <w:proofErr w:type="spellStart"/>
      <w:r w:rsidRPr="00E403CB">
        <w:rPr>
          <w:i/>
          <w:szCs w:val="18"/>
        </w:rPr>
        <w:t>Eğitim</w:t>
      </w:r>
      <w:proofErr w:type="spellEnd"/>
      <w:r w:rsidRPr="00E403CB">
        <w:rPr>
          <w:i/>
          <w:szCs w:val="18"/>
        </w:rPr>
        <w:t xml:space="preserve"> </w:t>
      </w:r>
      <w:proofErr w:type="spellStart"/>
      <w:r w:rsidRPr="00E403CB">
        <w:rPr>
          <w:i/>
          <w:szCs w:val="18"/>
        </w:rPr>
        <w:t>Fakültesi</w:t>
      </w:r>
      <w:proofErr w:type="spellEnd"/>
      <w:r w:rsidRPr="00E403CB">
        <w:rPr>
          <w:i/>
          <w:szCs w:val="18"/>
        </w:rPr>
        <w:t xml:space="preserve"> </w:t>
      </w:r>
      <w:proofErr w:type="spellStart"/>
      <w:r w:rsidRPr="00E403CB">
        <w:rPr>
          <w:i/>
          <w:szCs w:val="18"/>
        </w:rPr>
        <w:t>Dergisi</w:t>
      </w:r>
      <w:proofErr w:type="spellEnd"/>
      <w:r w:rsidRPr="00E403CB">
        <w:rPr>
          <w:i/>
          <w:szCs w:val="18"/>
        </w:rPr>
        <w:t>. Cilt:VI1</w:t>
      </w:r>
      <w:r w:rsidRPr="00E403CB">
        <w:rPr>
          <w:szCs w:val="18"/>
        </w:rPr>
        <w:t xml:space="preserve">, </w:t>
      </w:r>
      <w:proofErr w:type="spellStart"/>
      <w:r w:rsidRPr="00E403CB">
        <w:rPr>
          <w:szCs w:val="18"/>
        </w:rPr>
        <w:t>Sayı</w:t>
      </w:r>
      <w:proofErr w:type="spellEnd"/>
      <w:r w:rsidRPr="00E403CB">
        <w:rPr>
          <w:szCs w:val="18"/>
        </w:rPr>
        <w:t>: I, 20-44.</w:t>
      </w:r>
    </w:p>
    <w:p w14:paraId="560A14E9" w14:textId="77777777" w:rsidR="00572B06" w:rsidRPr="00E403CB" w:rsidRDefault="00572B06" w:rsidP="003E0DF3">
      <w:pPr>
        <w:spacing w:before="120" w:after="120"/>
        <w:jc w:val="both"/>
        <w:rPr>
          <w:szCs w:val="18"/>
        </w:rPr>
      </w:pPr>
      <w:proofErr w:type="spellStart"/>
      <w:r w:rsidRPr="00E403CB">
        <w:rPr>
          <w:szCs w:val="18"/>
        </w:rPr>
        <w:t>Guichon</w:t>
      </w:r>
      <w:proofErr w:type="spellEnd"/>
      <w:r w:rsidRPr="00E403CB">
        <w:rPr>
          <w:szCs w:val="18"/>
        </w:rPr>
        <w:t xml:space="preserve">, N., &amp; Hauck, M. (2011). Editorial: Teacher education research in CALL and CMC: More in demand than ever. </w:t>
      </w:r>
      <w:proofErr w:type="spellStart"/>
      <w:r w:rsidRPr="00E403CB">
        <w:rPr>
          <w:i/>
          <w:szCs w:val="18"/>
        </w:rPr>
        <w:t>ReCALL</w:t>
      </w:r>
      <w:proofErr w:type="spellEnd"/>
      <w:r w:rsidRPr="00E403CB">
        <w:rPr>
          <w:i/>
          <w:szCs w:val="18"/>
        </w:rPr>
        <w:t>, 23 (Special Issue 3),</w:t>
      </w:r>
      <w:r w:rsidRPr="00E403CB">
        <w:rPr>
          <w:szCs w:val="18"/>
        </w:rPr>
        <w:t xml:space="preserve"> 187–199.</w:t>
      </w:r>
    </w:p>
    <w:p w14:paraId="5BD10A0E" w14:textId="77777777" w:rsidR="00572B06" w:rsidRDefault="00572B06" w:rsidP="003E0DF3">
      <w:pPr>
        <w:spacing w:before="120" w:after="120"/>
        <w:jc w:val="both"/>
        <w:rPr>
          <w:szCs w:val="18"/>
        </w:rPr>
      </w:pPr>
      <w:r w:rsidRPr="00E403CB">
        <w:rPr>
          <w:szCs w:val="18"/>
        </w:rPr>
        <w:t xml:space="preserve">Institute of Linguistics (2010). </w:t>
      </w:r>
      <w:r w:rsidRPr="00E403CB">
        <w:rPr>
          <w:i/>
          <w:szCs w:val="18"/>
        </w:rPr>
        <w:t>Vietnamese Dictionary</w:t>
      </w:r>
      <w:r w:rsidRPr="00E403CB">
        <w:rPr>
          <w:szCs w:val="18"/>
        </w:rPr>
        <w:t>, Polytechnic Dictionary Publisher</w:t>
      </w:r>
      <w:r>
        <w:rPr>
          <w:szCs w:val="18"/>
        </w:rPr>
        <w:t>.</w:t>
      </w:r>
    </w:p>
    <w:p w14:paraId="7D7BAC00" w14:textId="77777777" w:rsidR="00572B06" w:rsidRPr="00E403CB" w:rsidRDefault="00572B06" w:rsidP="003E0DF3">
      <w:pPr>
        <w:spacing w:before="120" w:after="120"/>
        <w:jc w:val="both"/>
        <w:rPr>
          <w:szCs w:val="18"/>
        </w:rPr>
      </w:pPr>
      <w:r w:rsidRPr="00E403CB">
        <w:rPr>
          <w:szCs w:val="18"/>
        </w:rPr>
        <w:t xml:space="preserve">International Society for Technology in Education (2008). </w:t>
      </w:r>
      <w:r w:rsidRPr="00E403CB">
        <w:rPr>
          <w:i/>
          <w:szCs w:val="18"/>
        </w:rPr>
        <w:t>ISTE Standards for Teachers</w:t>
      </w:r>
      <w:r w:rsidRPr="00E403CB">
        <w:rPr>
          <w:i/>
          <w:szCs w:val="18"/>
          <w:lang w:val="vi-VN"/>
        </w:rPr>
        <w:t>.</w:t>
      </w:r>
      <w:r w:rsidRPr="00E403CB">
        <w:rPr>
          <w:szCs w:val="18"/>
        </w:rPr>
        <w:t xml:space="preserve"> Paper presented at web </w:t>
      </w:r>
      <w:hyperlink r:id="rId23" w:history="1">
        <w:r w:rsidRPr="00E403CB">
          <w:rPr>
            <w:rStyle w:val="Hyperlink"/>
            <w:szCs w:val="18"/>
          </w:rPr>
          <w:t>http://www.iste.org/standards/standards-for-teachers</w:t>
        </w:r>
      </w:hyperlink>
      <w:r w:rsidRPr="00E403CB">
        <w:rPr>
          <w:szCs w:val="18"/>
        </w:rPr>
        <w:t>.</w:t>
      </w:r>
    </w:p>
    <w:p w14:paraId="0C8271F1" w14:textId="77777777" w:rsidR="00572B06" w:rsidRPr="00E403CB" w:rsidRDefault="00572B06" w:rsidP="003E0DF3">
      <w:pPr>
        <w:spacing w:before="120" w:after="120"/>
        <w:jc w:val="both"/>
        <w:rPr>
          <w:szCs w:val="18"/>
          <w:u w:val="single"/>
        </w:rPr>
      </w:pPr>
      <w:r w:rsidRPr="00E403CB">
        <w:rPr>
          <w:szCs w:val="18"/>
        </w:rPr>
        <w:t xml:space="preserve">International Society for Technology in Education (2018). </w:t>
      </w:r>
      <w:r w:rsidRPr="00E403CB">
        <w:rPr>
          <w:i/>
          <w:szCs w:val="18"/>
        </w:rPr>
        <w:t>ISTE Standards for Education Leaders</w:t>
      </w:r>
      <w:r w:rsidRPr="00E403CB">
        <w:rPr>
          <w:i/>
          <w:szCs w:val="18"/>
          <w:lang w:val="vi-VN"/>
        </w:rPr>
        <w:t>.</w:t>
      </w:r>
      <w:r w:rsidRPr="00E403CB">
        <w:rPr>
          <w:szCs w:val="18"/>
        </w:rPr>
        <w:t xml:space="preserve"> Paper presented at web </w:t>
      </w:r>
      <w:hyperlink r:id="rId24" w:history="1">
        <w:r w:rsidRPr="00E403CB">
          <w:rPr>
            <w:rStyle w:val="Hyperlink"/>
            <w:szCs w:val="18"/>
          </w:rPr>
          <w:t>https://www.iste.org/standards/for-education-leaders</w:t>
        </w:r>
      </w:hyperlink>
      <w:r w:rsidRPr="00E403CB">
        <w:rPr>
          <w:szCs w:val="18"/>
        </w:rPr>
        <w:t>.</w:t>
      </w:r>
      <w:r w:rsidRPr="00E403CB">
        <w:rPr>
          <w:rStyle w:val="Hyperlink"/>
          <w:szCs w:val="18"/>
        </w:rPr>
        <w:t xml:space="preserve"> </w:t>
      </w:r>
    </w:p>
    <w:p w14:paraId="0359DA6F" w14:textId="77777777" w:rsidR="00572B06" w:rsidRPr="00E403CB" w:rsidRDefault="00572B06" w:rsidP="003E0DF3">
      <w:pPr>
        <w:spacing w:before="120" w:after="120"/>
        <w:jc w:val="both"/>
        <w:rPr>
          <w:szCs w:val="18"/>
        </w:rPr>
      </w:pPr>
      <w:proofErr w:type="spellStart"/>
      <w:r w:rsidRPr="00E403CB">
        <w:rPr>
          <w:szCs w:val="18"/>
        </w:rPr>
        <w:t>Keengwe</w:t>
      </w:r>
      <w:proofErr w:type="spellEnd"/>
      <w:r w:rsidRPr="00E403CB">
        <w:rPr>
          <w:szCs w:val="18"/>
        </w:rPr>
        <w:t>, J., &amp; Kidd, T. T. (2010).</w:t>
      </w:r>
      <w:r w:rsidRPr="00E403CB">
        <w:rPr>
          <w:szCs w:val="18"/>
          <w:lang w:val="vi-VN"/>
        </w:rPr>
        <w:t xml:space="preserve"> </w:t>
      </w:r>
      <w:r w:rsidRPr="00E403CB">
        <w:rPr>
          <w:szCs w:val="18"/>
        </w:rPr>
        <w:t xml:space="preserve">Towards Best Practices in Online Learning and Teaching in Higher Education. </w:t>
      </w:r>
      <w:r w:rsidRPr="00E403CB">
        <w:rPr>
          <w:i/>
          <w:szCs w:val="18"/>
        </w:rPr>
        <w:t>MERLOT Journal of Online Learning and Teaching</w:t>
      </w:r>
      <w:r w:rsidRPr="00E403CB">
        <w:rPr>
          <w:szCs w:val="18"/>
        </w:rPr>
        <w:t>, 6(2), 533-541.</w:t>
      </w:r>
    </w:p>
    <w:p w14:paraId="291D8A6D" w14:textId="77777777" w:rsidR="00572B06" w:rsidRPr="00E403CB" w:rsidRDefault="00572B06" w:rsidP="003E0DF3">
      <w:pPr>
        <w:spacing w:before="120" w:after="120"/>
        <w:jc w:val="both"/>
        <w:rPr>
          <w:szCs w:val="18"/>
        </w:rPr>
      </w:pPr>
      <w:r w:rsidRPr="00E403CB">
        <w:rPr>
          <w:szCs w:val="18"/>
          <w:lang w:val="vi-VN"/>
        </w:rPr>
        <w:t>Matthew J. Koehler, Punya Mishra, Kristen Kereluik, Tae Seob Shin and Charles R. Graham (2014). </w:t>
      </w:r>
      <w:r w:rsidRPr="00E403CB">
        <w:rPr>
          <w:i/>
          <w:iCs/>
          <w:szCs w:val="18"/>
          <w:lang w:val="vi-VN"/>
        </w:rPr>
        <w:t>The Technological Pedagogical Content Knowledge Framework.</w:t>
      </w:r>
      <w:r w:rsidRPr="00E403CB">
        <w:rPr>
          <w:szCs w:val="18"/>
          <w:lang w:val="vi-VN"/>
        </w:rPr>
        <w:t> Handbook of Research on Educational Communications and Technology, DOI 10.1007/978-1-4614-3185-5_9</w:t>
      </w:r>
      <w:r w:rsidRPr="00E403CB">
        <w:rPr>
          <w:szCs w:val="18"/>
        </w:rPr>
        <w:t>.</w:t>
      </w:r>
    </w:p>
    <w:p w14:paraId="6D54309E" w14:textId="77777777" w:rsidR="00572B06" w:rsidRPr="00E403CB" w:rsidRDefault="00572B06" w:rsidP="003E0DF3">
      <w:pPr>
        <w:spacing w:before="120" w:after="120"/>
        <w:jc w:val="both"/>
        <w:rPr>
          <w:szCs w:val="18"/>
        </w:rPr>
      </w:pPr>
      <w:r w:rsidRPr="00E403CB">
        <w:rPr>
          <w:szCs w:val="18"/>
        </w:rPr>
        <w:t xml:space="preserve">Matthew </w:t>
      </w:r>
      <w:proofErr w:type="spellStart"/>
      <w:r w:rsidRPr="00E403CB">
        <w:rPr>
          <w:szCs w:val="18"/>
        </w:rPr>
        <w:t>Prineas</w:t>
      </w:r>
      <w:proofErr w:type="spellEnd"/>
      <w:r w:rsidRPr="00E403CB">
        <w:rPr>
          <w:szCs w:val="18"/>
        </w:rPr>
        <w:t xml:space="preserve"> &amp; Marie </w:t>
      </w:r>
      <w:proofErr w:type="spellStart"/>
      <w:r w:rsidRPr="00E403CB">
        <w:rPr>
          <w:szCs w:val="18"/>
        </w:rPr>
        <w:t>Cini</w:t>
      </w:r>
      <w:proofErr w:type="spellEnd"/>
      <w:r w:rsidRPr="00E403CB">
        <w:rPr>
          <w:szCs w:val="18"/>
        </w:rPr>
        <w:t xml:space="preserve"> (2011). Assessing Learning in Online Education: The Role of Technology in Improving Student Outcomes. </w:t>
      </w:r>
      <w:r w:rsidRPr="00E403CB">
        <w:rPr>
          <w:i/>
          <w:szCs w:val="18"/>
        </w:rPr>
        <w:t>National Institute for Learning Outcomes Assessment</w:t>
      </w:r>
      <w:r w:rsidRPr="00E403CB">
        <w:rPr>
          <w:szCs w:val="18"/>
        </w:rPr>
        <w:t>.</w:t>
      </w:r>
    </w:p>
    <w:p w14:paraId="51DA0001" w14:textId="77777777" w:rsidR="00572B06" w:rsidRPr="00E403CB" w:rsidRDefault="00572B06" w:rsidP="003E0DF3">
      <w:pPr>
        <w:spacing w:before="120" w:after="120"/>
        <w:jc w:val="both"/>
        <w:rPr>
          <w:szCs w:val="18"/>
        </w:rPr>
      </w:pPr>
      <w:proofErr w:type="spellStart"/>
      <w:r w:rsidRPr="00E403CB">
        <w:rPr>
          <w:szCs w:val="18"/>
        </w:rPr>
        <w:t>Milad</w:t>
      </w:r>
      <w:proofErr w:type="spellEnd"/>
      <w:r w:rsidRPr="00E403CB">
        <w:rPr>
          <w:szCs w:val="18"/>
        </w:rPr>
        <w:t xml:space="preserve"> M. </w:t>
      </w:r>
      <w:proofErr w:type="spellStart"/>
      <w:r w:rsidRPr="00E403CB">
        <w:rPr>
          <w:szCs w:val="18"/>
        </w:rPr>
        <w:t>Saad</w:t>
      </w:r>
      <w:proofErr w:type="spellEnd"/>
      <w:r w:rsidRPr="00E403CB">
        <w:rPr>
          <w:szCs w:val="18"/>
        </w:rPr>
        <w:t xml:space="preserve">, Aziz M. </w:t>
      </w:r>
      <w:proofErr w:type="spellStart"/>
      <w:r w:rsidRPr="00E403CB">
        <w:rPr>
          <w:szCs w:val="18"/>
        </w:rPr>
        <w:t>Barbar</w:t>
      </w:r>
      <w:proofErr w:type="spellEnd"/>
      <w:r w:rsidRPr="00E403CB">
        <w:rPr>
          <w:szCs w:val="18"/>
        </w:rPr>
        <w:t xml:space="preserve">, Suzanne A.R. </w:t>
      </w:r>
      <w:proofErr w:type="spellStart"/>
      <w:r w:rsidRPr="00E403CB">
        <w:rPr>
          <w:szCs w:val="18"/>
        </w:rPr>
        <w:t>Abourjeili</w:t>
      </w:r>
      <w:proofErr w:type="spellEnd"/>
      <w:r w:rsidRPr="00E403CB">
        <w:rPr>
          <w:szCs w:val="18"/>
        </w:rPr>
        <w:t xml:space="preserve"> (2012), TPACK-XL Framework for Educators and Scholars: A theoretical Grounding for Building Preservice Teachers ICT Knowledge Base. p.13</w:t>
      </w:r>
    </w:p>
    <w:p w14:paraId="333F01B4" w14:textId="77777777" w:rsidR="00572B06" w:rsidRPr="00E403CB" w:rsidRDefault="00572B06" w:rsidP="003E0DF3">
      <w:pPr>
        <w:spacing w:before="120" w:after="120"/>
        <w:jc w:val="both"/>
        <w:rPr>
          <w:szCs w:val="18"/>
        </w:rPr>
      </w:pPr>
      <w:proofErr w:type="spellStart"/>
      <w:r w:rsidRPr="00E403CB">
        <w:rPr>
          <w:iCs/>
          <w:szCs w:val="18"/>
        </w:rPr>
        <w:t>Mosa</w:t>
      </w:r>
      <w:proofErr w:type="spellEnd"/>
      <w:r w:rsidRPr="00E403CB">
        <w:rPr>
          <w:iCs/>
          <w:szCs w:val="18"/>
        </w:rPr>
        <w:t xml:space="preserve"> Ali, </w:t>
      </w:r>
      <w:proofErr w:type="spellStart"/>
      <w:r w:rsidRPr="00E403CB">
        <w:rPr>
          <w:iCs/>
          <w:szCs w:val="18"/>
        </w:rPr>
        <w:t>Mahrin</w:t>
      </w:r>
      <w:proofErr w:type="spellEnd"/>
      <w:r w:rsidRPr="00E403CB">
        <w:rPr>
          <w:iCs/>
          <w:szCs w:val="18"/>
        </w:rPr>
        <w:t xml:space="preserve">, </w:t>
      </w:r>
      <w:proofErr w:type="spellStart"/>
      <w:r w:rsidRPr="00E403CB">
        <w:rPr>
          <w:iCs/>
          <w:szCs w:val="18"/>
        </w:rPr>
        <w:t>Roslina</w:t>
      </w:r>
      <w:proofErr w:type="spellEnd"/>
      <w:r w:rsidRPr="00E403CB">
        <w:rPr>
          <w:iCs/>
          <w:szCs w:val="18"/>
        </w:rPr>
        <w:t xml:space="preserve"> </w:t>
      </w:r>
      <w:proofErr w:type="spellStart"/>
      <w:r w:rsidRPr="00E403CB">
        <w:rPr>
          <w:iCs/>
          <w:szCs w:val="18"/>
        </w:rPr>
        <w:t>Ibrrahim</w:t>
      </w:r>
      <w:proofErr w:type="spellEnd"/>
      <w:r w:rsidRPr="00E403CB">
        <w:rPr>
          <w:iCs/>
          <w:szCs w:val="18"/>
        </w:rPr>
        <w:t xml:space="preserve"> (2016). Technological Aspects of E-Learning Readiness in Higher Education: </w:t>
      </w:r>
      <w:r w:rsidRPr="00E403CB">
        <w:rPr>
          <w:i/>
          <w:iCs/>
          <w:szCs w:val="18"/>
        </w:rPr>
        <w:t>A Review of the Literature</w:t>
      </w:r>
      <w:r w:rsidRPr="00E403CB">
        <w:rPr>
          <w:iCs/>
          <w:szCs w:val="18"/>
        </w:rPr>
        <w:t>. Vol 9, No 1.</w:t>
      </w:r>
    </w:p>
    <w:p w14:paraId="133119FB" w14:textId="77777777" w:rsidR="00572B06" w:rsidRPr="00E403CB" w:rsidRDefault="00572B06" w:rsidP="003E0DF3">
      <w:pPr>
        <w:spacing w:before="120" w:after="120"/>
        <w:jc w:val="both"/>
        <w:rPr>
          <w:szCs w:val="18"/>
        </w:rPr>
      </w:pPr>
      <w:r w:rsidRPr="00E403CB">
        <w:rPr>
          <w:szCs w:val="18"/>
        </w:rPr>
        <w:t xml:space="preserve">National Assembly of Vietnam (2006). </w:t>
      </w:r>
      <w:r w:rsidRPr="00E403CB">
        <w:rPr>
          <w:i/>
          <w:szCs w:val="18"/>
        </w:rPr>
        <w:t>Information Technology Law</w:t>
      </w:r>
      <w:r w:rsidRPr="00E403CB">
        <w:rPr>
          <w:szCs w:val="18"/>
        </w:rPr>
        <w:t>.</w:t>
      </w:r>
    </w:p>
    <w:p w14:paraId="5DBE5F84" w14:textId="77777777" w:rsidR="00572B06" w:rsidRPr="00E403CB" w:rsidRDefault="00572B06" w:rsidP="003E0DF3">
      <w:pPr>
        <w:spacing w:before="120" w:after="120"/>
        <w:jc w:val="both"/>
        <w:rPr>
          <w:szCs w:val="18"/>
        </w:rPr>
      </w:pPr>
      <w:r w:rsidRPr="00E403CB">
        <w:rPr>
          <w:szCs w:val="18"/>
        </w:rPr>
        <w:t xml:space="preserve">Paula Mae </w:t>
      </w:r>
      <w:proofErr w:type="spellStart"/>
      <w:r w:rsidRPr="00E403CB">
        <w:rPr>
          <w:szCs w:val="18"/>
        </w:rPr>
        <w:t>Bigatel</w:t>
      </w:r>
      <w:proofErr w:type="spellEnd"/>
      <w:r w:rsidRPr="00E403CB">
        <w:rPr>
          <w:szCs w:val="18"/>
        </w:rPr>
        <w:t xml:space="preserve">, Lawrence C. Ragan, Shannon Kennan, Janet May, and Brian F. Redmond (2010). The Identification of Competencies for Online Teaching Success, </w:t>
      </w:r>
      <w:r w:rsidRPr="00E403CB">
        <w:rPr>
          <w:i/>
          <w:szCs w:val="18"/>
        </w:rPr>
        <w:t xml:space="preserve">Journal of Asynchronous Learning Networks, </w:t>
      </w:r>
      <w:r w:rsidRPr="00E403CB">
        <w:rPr>
          <w:szCs w:val="18"/>
        </w:rPr>
        <w:t>Volume 16: Issue 1.</w:t>
      </w:r>
    </w:p>
    <w:p w14:paraId="6B6320AB" w14:textId="77777777" w:rsidR="00572B06" w:rsidRPr="00E403CB" w:rsidRDefault="00572B06" w:rsidP="003E0DF3">
      <w:pPr>
        <w:spacing w:before="120" w:after="120"/>
        <w:jc w:val="both"/>
        <w:rPr>
          <w:szCs w:val="18"/>
        </w:rPr>
      </w:pPr>
      <w:proofErr w:type="spellStart"/>
      <w:r w:rsidRPr="00E403CB">
        <w:rPr>
          <w:szCs w:val="18"/>
        </w:rPr>
        <w:t>Semiz</w:t>
      </w:r>
      <w:proofErr w:type="spellEnd"/>
      <w:r w:rsidRPr="00E403CB">
        <w:rPr>
          <w:szCs w:val="18"/>
        </w:rPr>
        <w:t xml:space="preserve">, K. (2011). ‘Pre-service Physical Education Teachers’ Technological Pedagogical Content Knowledge, Technology Integration Self-Efficacy and Instructional Technology Outcome Expectations’, </w:t>
      </w:r>
      <w:r w:rsidRPr="00E403CB">
        <w:rPr>
          <w:i/>
          <w:szCs w:val="18"/>
        </w:rPr>
        <w:t>Middle East Technical University, Social Science Institute, Unpublished Post-Graduate Dissertation, Ankara</w:t>
      </w:r>
      <w:r w:rsidRPr="00E403CB">
        <w:rPr>
          <w:szCs w:val="18"/>
        </w:rPr>
        <w:t>.</w:t>
      </w:r>
    </w:p>
    <w:p w14:paraId="54E93888" w14:textId="77777777" w:rsidR="00572B06" w:rsidRPr="00E403CB" w:rsidRDefault="00572B06" w:rsidP="003E0DF3">
      <w:pPr>
        <w:spacing w:before="120" w:after="120"/>
        <w:jc w:val="both"/>
        <w:rPr>
          <w:szCs w:val="18"/>
        </w:rPr>
      </w:pPr>
      <w:r w:rsidRPr="00E403CB">
        <w:rPr>
          <w:szCs w:val="18"/>
        </w:rPr>
        <w:t xml:space="preserve">Shi, S., Mishra, P., Bonk, C. J., Tan, S., &amp; Zhao Y. (2006). Thread theory: </w:t>
      </w:r>
      <w:r w:rsidRPr="00E403CB">
        <w:rPr>
          <w:i/>
          <w:szCs w:val="18"/>
        </w:rPr>
        <w:t xml:space="preserve">A Framework </w:t>
      </w:r>
      <w:r w:rsidRPr="00E403CB">
        <w:rPr>
          <w:szCs w:val="18"/>
        </w:rPr>
        <w:t xml:space="preserve">Applied </w:t>
      </w:r>
      <w:r w:rsidRPr="00E403CB">
        <w:rPr>
          <w:szCs w:val="18"/>
          <w:lang w:val="vi-VN"/>
        </w:rPr>
        <w:t>t</w:t>
      </w:r>
      <w:r w:rsidRPr="00E403CB">
        <w:rPr>
          <w:szCs w:val="18"/>
        </w:rPr>
        <w:t xml:space="preserve">o Content Analysis </w:t>
      </w:r>
      <w:r w:rsidRPr="00E403CB">
        <w:rPr>
          <w:szCs w:val="18"/>
          <w:lang w:val="vi-VN"/>
        </w:rPr>
        <w:t>o</w:t>
      </w:r>
      <w:r w:rsidRPr="00E403CB">
        <w:rPr>
          <w:szCs w:val="18"/>
        </w:rPr>
        <w:t xml:space="preserve">f Synchronous Computer Mediated Communication Data. </w:t>
      </w:r>
      <w:r w:rsidRPr="00E403CB">
        <w:rPr>
          <w:i/>
          <w:szCs w:val="18"/>
        </w:rPr>
        <w:t>International Journal of Instructional Technology &amp; Distance Learning</w:t>
      </w:r>
      <w:r w:rsidRPr="00E403CB">
        <w:rPr>
          <w:szCs w:val="18"/>
        </w:rPr>
        <w:t xml:space="preserve">, 3 (3). </w:t>
      </w:r>
    </w:p>
    <w:p w14:paraId="122A8F5A" w14:textId="77777777" w:rsidR="00572B06" w:rsidRPr="00E403CB" w:rsidRDefault="00572B06" w:rsidP="003E0DF3">
      <w:pPr>
        <w:spacing w:before="120" w:after="120"/>
        <w:jc w:val="both"/>
        <w:rPr>
          <w:szCs w:val="18"/>
        </w:rPr>
      </w:pPr>
      <w:r w:rsidRPr="00E403CB">
        <w:rPr>
          <w:szCs w:val="18"/>
        </w:rPr>
        <w:t xml:space="preserve">Sun, A., &amp; Chen, X. (2016). Online education and its effective practice: A research review. </w:t>
      </w:r>
      <w:r w:rsidRPr="00E403CB">
        <w:rPr>
          <w:i/>
          <w:iCs/>
          <w:szCs w:val="18"/>
        </w:rPr>
        <w:t>Journal of Information Technology Education</w:t>
      </w:r>
      <w:r w:rsidRPr="00E403CB">
        <w:rPr>
          <w:iCs/>
          <w:szCs w:val="18"/>
        </w:rPr>
        <w:t xml:space="preserve">: Research, 15, </w:t>
      </w:r>
      <w:r w:rsidRPr="00E403CB">
        <w:rPr>
          <w:szCs w:val="18"/>
        </w:rPr>
        <w:t xml:space="preserve">157-190. </w:t>
      </w:r>
    </w:p>
    <w:p w14:paraId="05CA304A" w14:textId="77777777" w:rsidR="00572B06" w:rsidRPr="00E403CB" w:rsidRDefault="00572B06" w:rsidP="003E0DF3">
      <w:pPr>
        <w:spacing w:before="120" w:after="120"/>
        <w:jc w:val="both"/>
        <w:rPr>
          <w:szCs w:val="18"/>
        </w:rPr>
      </w:pPr>
      <w:r w:rsidRPr="00E403CB">
        <w:rPr>
          <w:szCs w:val="18"/>
        </w:rPr>
        <w:t>U.S. Department of Labor. (2012).</w:t>
      </w:r>
      <w:r w:rsidRPr="00E403CB">
        <w:rPr>
          <w:i/>
          <w:szCs w:val="18"/>
        </w:rPr>
        <w:t xml:space="preserve"> Information Technology Competency Model</w:t>
      </w:r>
      <w:r w:rsidRPr="00E403CB">
        <w:rPr>
          <w:szCs w:val="18"/>
        </w:rPr>
        <w:t xml:space="preserve">. Retrieved from Competency Model Clearinghouse: </w:t>
      </w:r>
      <w:hyperlink r:id="rId25" w:history="1">
        <w:r w:rsidRPr="00E403CB">
          <w:rPr>
            <w:rStyle w:val="Hyperlink"/>
            <w:szCs w:val="18"/>
          </w:rPr>
          <w:t>http://www.careeronestop.org/CompetencyModel/pyramid.aspx?IT=Y</w:t>
        </w:r>
      </w:hyperlink>
      <w:r w:rsidRPr="00E403CB">
        <w:rPr>
          <w:rStyle w:val="Hyperlink"/>
          <w:szCs w:val="18"/>
        </w:rPr>
        <w:t>.</w:t>
      </w:r>
    </w:p>
    <w:p w14:paraId="38AB2A06" w14:textId="77777777" w:rsidR="00572B06" w:rsidRPr="00E403CB" w:rsidRDefault="00572B06" w:rsidP="003E0DF3">
      <w:pPr>
        <w:spacing w:before="120" w:after="120"/>
        <w:jc w:val="both"/>
        <w:rPr>
          <w:szCs w:val="18"/>
        </w:rPr>
      </w:pPr>
      <w:r w:rsidRPr="00E403CB">
        <w:rPr>
          <w:szCs w:val="18"/>
        </w:rPr>
        <w:t xml:space="preserve">UNESCO (2011). </w:t>
      </w:r>
      <w:r w:rsidRPr="00E403CB">
        <w:rPr>
          <w:i/>
          <w:szCs w:val="18"/>
        </w:rPr>
        <w:t>UNESCO ICT Competence Framework for Teachers</w:t>
      </w:r>
      <w:r w:rsidRPr="00E403CB">
        <w:rPr>
          <w:szCs w:val="18"/>
        </w:rPr>
        <w:t>, UNESCO, France.</w:t>
      </w:r>
    </w:p>
    <w:p w14:paraId="1978094A" w14:textId="77777777" w:rsidR="00572B06" w:rsidRPr="00E403CB" w:rsidRDefault="00572B06" w:rsidP="003E0DF3">
      <w:pPr>
        <w:spacing w:before="120" w:after="120"/>
        <w:jc w:val="both"/>
        <w:rPr>
          <w:szCs w:val="18"/>
        </w:rPr>
      </w:pPr>
      <w:r w:rsidRPr="00E403CB">
        <w:rPr>
          <w:szCs w:val="18"/>
        </w:rPr>
        <w:t xml:space="preserve">UNESCO (2018). </w:t>
      </w:r>
      <w:r w:rsidRPr="00E403CB">
        <w:rPr>
          <w:i/>
          <w:szCs w:val="18"/>
        </w:rPr>
        <w:t>UNESCO ICT Competency Framework for Teachers</w:t>
      </w:r>
      <w:r w:rsidRPr="00E403CB">
        <w:rPr>
          <w:szCs w:val="18"/>
        </w:rPr>
        <w:t>, Version 3.</w:t>
      </w:r>
    </w:p>
    <w:p w14:paraId="2D091EF2" w14:textId="77777777" w:rsidR="00572B06" w:rsidRPr="00E403CB" w:rsidRDefault="00572B06" w:rsidP="003E0DF3">
      <w:pPr>
        <w:spacing w:before="120" w:after="120"/>
        <w:jc w:val="both"/>
        <w:rPr>
          <w:szCs w:val="18"/>
        </w:rPr>
      </w:pPr>
      <w:r w:rsidRPr="00E403CB">
        <w:rPr>
          <w:szCs w:val="18"/>
        </w:rPr>
        <w:t>Wang, Y. D. (2014).</w:t>
      </w:r>
      <w:r w:rsidRPr="00E403CB">
        <w:rPr>
          <w:szCs w:val="18"/>
          <w:lang w:val="vi-VN"/>
        </w:rPr>
        <w:t xml:space="preserve"> </w:t>
      </w:r>
      <w:r w:rsidRPr="00E403CB">
        <w:rPr>
          <w:szCs w:val="18"/>
        </w:rPr>
        <w:t xml:space="preserve">Building Student Trust </w:t>
      </w:r>
      <w:r w:rsidRPr="00E403CB">
        <w:rPr>
          <w:szCs w:val="18"/>
          <w:lang w:val="vi-VN"/>
        </w:rPr>
        <w:t>i</w:t>
      </w:r>
      <w:r w:rsidRPr="00E403CB">
        <w:rPr>
          <w:szCs w:val="18"/>
        </w:rPr>
        <w:t>n Online Learning Environments</w:t>
      </w:r>
      <w:r w:rsidRPr="00E403CB">
        <w:rPr>
          <w:i/>
          <w:szCs w:val="18"/>
        </w:rPr>
        <w:t>, Journal Distance Education</w:t>
      </w:r>
      <w:r w:rsidRPr="00E403CB">
        <w:rPr>
          <w:szCs w:val="18"/>
        </w:rPr>
        <w:t>,</w:t>
      </w:r>
      <w:r w:rsidRPr="00E403CB">
        <w:rPr>
          <w:i/>
          <w:szCs w:val="18"/>
        </w:rPr>
        <w:t xml:space="preserve"> </w:t>
      </w:r>
      <w:r w:rsidRPr="00E403CB">
        <w:rPr>
          <w:szCs w:val="18"/>
        </w:rPr>
        <w:t>35(3), 345-359.</w:t>
      </w:r>
    </w:p>
    <w:p w14:paraId="51F4F331" w14:textId="77777777" w:rsidR="00E24678" w:rsidRPr="00A05D8F" w:rsidRDefault="00572B06" w:rsidP="009B0556">
      <w:pPr>
        <w:spacing w:before="120" w:after="120"/>
        <w:jc w:val="both"/>
        <w:rPr>
          <w:lang w:val="en-GB"/>
        </w:rPr>
      </w:pPr>
      <w:r w:rsidRPr="00E403CB">
        <w:rPr>
          <w:szCs w:val="18"/>
          <w:lang w:val="vi-VN"/>
        </w:rPr>
        <w:t>Zhijun Wang, Li Chen, Terry Anderson. (2014). </w:t>
      </w:r>
      <w:r w:rsidRPr="00E403CB">
        <w:rPr>
          <w:iCs/>
          <w:szCs w:val="18"/>
          <w:lang w:val="vi-VN"/>
        </w:rPr>
        <w:t>A Framework for Interaction and Cognitive Engagement in Connectivist Learning Contexts</w:t>
      </w:r>
      <w:r w:rsidRPr="00E403CB">
        <w:rPr>
          <w:szCs w:val="18"/>
          <w:lang w:val="vi-VN"/>
        </w:rPr>
        <w:t xml:space="preserve">. </w:t>
      </w:r>
      <w:r w:rsidRPr="00E403CB">
        <w:rPr>
          <w:i/>
          <w:szCs w:val="18"/>
          <w:lang w:val="vi-VN"/>
        </w:rPr>
        <w:t>The International Review of Research in Open and Distributed Learning, Vol 15</w:t>
      </w:r>
      <w:r w:rsidRPr="00E403CB">
        <w:rPr>
          <w:szCs w:val="18"/>
          <w:lang w:val="vi-VN"/>
        </w:rPr>
        <w:t xml:space="preserve">, No 2, 121 </w:t>
      </w:r>
      <w:r>
        <w:rPr>
          <w:szCs w:val="18"/>
          <w:lang w:val="vi-VN"/>
        </w:rPr>
        <w:t>–</w:t>
      </w:r>
      <w:r w:rsidRPr="00E403CB">
        <w:rPr>
          <w:szCs w:val="18"/>
          <w:lang w:val="vi-VN"/>
        </w:rPr>
        <w:t xml:space="preserve"> 141</w:t>
      </w:r>
      <w:r>
        <w:rPr>
          <w:szCs w:val="18"/>
        </w:rPr>
        <w:t>.</w:t>
      </w:r>
    </w:p>
    <w:sectPr w:rsidR="00E24678" w:rsidRPr="00A05D8F" w:rsidSect="00E24678">
      <w:footerReference w:type="default" r:id="rId26"/>
      <w:type w:val="continuous"/>
      <w:pgSz w:w="11909" w:h="16834" w:code="9"/>
      <w:pgMar w:top="1440" w:right="1152" w:bottom="1440" w:left="1152" w:header="720" w:footer="720" w:gutter="0"/>
      <w:cols w:space="28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0-01-20T17:59:00Z" w:initials="U">
    <w:p w14:paraId="64A5F2A5" w14:textId="77777777" w:rsidR="004614D2" w:rsidRDefault="004614D2" w:rsidP="004614D2">
      <w:pPr>
        <w:pStyle w:val="CommentText"/>
        <w:rPr>
          <w:rFonts w:ascii="Arial" w:hAnsi="Arial" w:cs="Arial"/>
          <w:color w:val="222222"/>
          <w:shd w:val="clear" w:color="auto" w:fill="FFFFFF"/>
        </w:rPr>
      </w:pPr>
      <w:r>
        <w:rPr>
          <w:rStyle w:val="CommentReference"/>
        </w:rPr>
        <w:annotationRef/>
      </w:r>
      <w:r>
        <w:rPr>
          <w:rFonts w:ascii="Arial" w:hAnsi="Arial" w:cs="Arial"/>
          <w:color w:val="222222"/>
          <w:shd w:val="clear" w:color="auto" w:fill="FFFFFF"/>
        </w:rPr>
        <w:t>Overall Comment</w:t>
      </w:r>
    </w:p>
    <w:p w14:paraId="4D5A9AED" w14:textId="5E008F92" w:rsidR="004614D2" w:rsidRDefault="004614D2" w:rsidP="004614D2">
      <w:pPr>
        <w:pStyle w:val="CommentText"/>
        <w:rPr>
          <w:rFonts w:ascii="Arial" w:hAnsi="Arial" w:cs="Arial"/>
          <w:color w:val="222222"/>
          <w:shd w:val="clear" w:color="auto" w:fill="FFFFFF"/>
        </w:rPr>
      </w:pPr>
      <w:r>
        <w:rPr>
          <w:rFonts w:ascii="Arial" w:hAnsi="Arial" w:cs="Arial"/>
          <w:color w:val="222222"/>
          <w:shd w:val="clear" w:color="auto" w:fill="FFFFFF"/>
        </w:rPr>
        <w:t>1.</w:t>
      </w:r>
      <w:r>
        <w:rPr>
          <w:rFonts w:ascii="Arial" w:hAnsi="Arial" w:cs="Arial"/>
          <w:color w:val="222222"/>
        </w:rPr>
        <w:t xml:space="preserve"> </w:t>
      </w:r>
      <w:r>
        <w:rPr>
          <w:rFonts w:ascii="Arial" w:hAnsi="Arial" w:cs="Arial"/>
          <w:color w:val="222222"/>
          <w:shd w:val="clear" w:color="auto" w:fill="FFFFFF"/>
        </w:rPr>
        <w:t>The authors should ensure the similarity index of less than 15% in order to be acceptable for this Journal.</w:t>
      </w:r>
    </w:p>
    <w:p w14:paraId="27F66106" w14:textId="110747A7" w:rsidR="004614D2" w:rsidRDefault="004614D2" w:rsidP="004614D2">
      <w:pPr>
        <w:pStyle w:val="CommentText"/>
        <w:rPr>
          <w:rFonts w:ascii="Arial" w:hAnsi="Arial" w:cs="Arial"/>
          <w:color w:val="222222"/>
          <w:shd w:val="clear" w:color="auto" w:fill="FFFFFF"/>
        </w:rPr>
      </w:pPr>
      <w:r>
        <w:rPr>
          <w:rFonts w:ascii="Arial" w:hAnsi="Arial" w:cs="Arial"/>
          <w:color w:val="222222"/>
          <w:shd w:val="clear" w:color="auto" w:fill="FFFFFF"/>
        </w:rPr>
        <w:t>2. All Table please follow JTET format</w:t>
      </w:r>
    </w:p>
    <w:p w14:paraId="25D73237" w14:textId="0146CB28" w:rsidR="004614D2" w:rsidRDefault="004614D2">
      <w:pPr>
        <w:pStyle w:val="CommentText"/>
        <w:rPr>
          <w:rFonts w:ascii="Arial" w:hAnsi="Arial" w:cs="Arial"/>
          <w:color w:val="222222"/>
          <w:shd w:val="clear" w:color="auto" w:fill="FFFFFF"/>
        </w:rPr>
      </w:pPr>
      <w:r>
        <w:rPr>
          <w:rFonts w:ascii="Arial" w:hAnsi="Arial" w:cs="Arial"/>
          <w:color w:val="222222"/>
          <w:shd w:val="clear" w:color="auto" w:fill="FFFFFF"/>
        </w:rPr>
        <w:t>3. Some reference outdated. At least 2015 -2020</w:t>
      </w:r>
    </w:p>
    <w:p w14:paraId="13EC5C41" w14:textId="0689845B" w:rsidR="00D4584A" w:rsidRPr="004614D2" w:rsidRDefault="00D4584A">
      <w:pPr>
        <w:pStyle w:val="CommentText"/>
        <w:rPr>
          <w:rFonts w:ascii="Arial" w:hAnsi="Arial" w:cs="Arial"/>
          <w:color w:val="222222"/>
          <w:shd w:val="clear" w:color="auto" w:fill="FFFFFF"/>
        </w:rPr>
      </w:pPr>
      <w:r>
        <w:rPr>
          <w:rFonts w:ascii="Arial" w:hAnsi="Arial" w:cs="Arial"/>
          <w:color w:val="222222"/>
          <w:shd w:val="clear" w:color="auto" w:fill="FFFFFF"/>
        </w:rPr>
        <w:t>4. Please proofread as there were some spelling error.</w:t>
      </w:r>
    </w:p>
  </w:comment>
  <w:comment w:id="2" w:author="User" w:date="2020-01-20T18:00:00Z" w:initials="U">
    <w:p w14:paraId="55DF9EA3" w14:textId="6B5E1702" w:rsidR="004614D2" w:rsidRPr="00D4584A" w:rsidRDefault="004614D2">
      <w:pPr>
        <w:pStyle w:val="CommentText"/>
        <w:rPr>
          <w:rFonts w:ascii="Arial" w:hAnsi="Arial" w:cs="Arial"/>
        </w:rPr>
      </w:pPr>
      <w:r w:rsidRPr="00D4584A">
        <w:rPr>
          <w:rStyle w:val="CommentReference"/>
          <w:rFonts w:ascii="Arial" w:hAnsi="Arial" w:cs="Arial"/>
          <w:sz w:val="20"/>
          <w:szCs w:val="20"/>
        </w:rPr>
        <w:annotationRef/>
      </w:r>
      <w:r w:rsidR="00D4584A" w:rsidRPr="00D4584A">
        <w:rPr>
          <w:rFonts w:ascii="Arial" w:hAnsi="Arial" w:cs="Arial"/>
        </w:rPr>
        <w:t>First paragraph should relate with TVET.</w:t>
      </w:r>
    </w:p>
  </w:comment>
  <w:comment w:id="3" w:author="User" w:date="2020-01-22T11:09:00Z" w:initials="U">
    <w:p w14:paraId="00EF99D5" w14:textId="41F8511D" w:rsidR="00D4584A" w:rsidRPr="00D4584A" w:rsidRDefault="00D4584A">
      <w:pPr>
        <w:pStyle w:val="CommentText"/>
        <w:rPr>
          <w:rFonts w:ascii="Arial" w:hAnsi="Arial" w:cs="Arial"/>
        </w:rPr>
      </w:pPr>
      <w:r w:rsidRPr="00D4584A">
        <w:rPr>
          <w:rStyle w:val="CommentReference"/>
          <w:rFonts w:ascii="Arial" w:hAnsi="Arial" w:cs="Arial"/>
          <w:sz w:val="20"/>
          <w:szCs w:val="20"/>
        </w:rPr>
        <w:annotationRef/>
      </w:r>
      <w:r w:rsidRPr="00D4584A">
        <w:rPr>
          <w:rFonts w:ascii="Arial" w:hAnsi="Arial" w:cs="Arial"/>
        </w:rPr>
        <w:t>Follow JTET format (Black and White only)</w:t>
      </w:r>
    </w:p>
  </w:comment>
  <w:comment w:id="5" w:author="User" w:date="2020-01-22T11:07:00Z" w:initials="U">
    <w:p w14:paraId="7C1A7C71" w14:textId="7E28CBC3" w:rsidR="00D4584A" w:rsidRPr="00D4584A" w:rsidRDefault="00D4584A">
      <w:pPr>
        <w:pStyle w:val="CommentText"/>
        <w:rPr>
          <w:rFonts w:ascii="Arial" w:hAnsi="Arial" w:cs="Arial"/>
        </w:rPr>
      </w:pPr>
      <w:r w:rsidRPr="00D4584A">
        <w:rPr>
          <w:rStyle w:val="CommentReference"/>
          <w:rFonts w:ascii="Arial" w:hAnsi="Arial" w:cs="Arial"/>
          <w:sz w:val="20"/>
          <w:szCs w:val="20"/>
        </w:rPr>
        <w:annotationRef/>
      </w:r>
      <w:r w:rsidRPr="00D4584A">
        <w:rPr>
          <w:rFonts w:ascii="Arial" w:hAnsi="Arial" w:cs="Arial"/>
        </w:rPr>
        <w:t>Add more discussions with updated references as this paper related to 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C5C41" w15:done="0"/>
  <w15:commentEx w15:paraId="55DF9EA3" w15:done="0"/>
  <w15:commentEx w15:paraId="00EF99D5" w15:done="0"/>
  <w15:commentEx w15:paraId="7C1A7C7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363" w14:textId="77777777" w:rsidR="00C7653E" w:rsidRDefault="00C7653E">
      <w:r>
        <w:separator/>
      </w:r>
    </w:p>
  </w:endnote>
  <w:endnote w:type="continuationSeparator" w:id="0">
    <w:p w14:paraId="57B58AD3" w14:textId="77777777" w:rsidR="00C7653E" w:rsidRDefault="00C7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FA3D" w14:textId="5335A139" w:rsidR="003B1EAA" w:rsidRDefault="003B1EAA" w:rsidP="00AB6C58">
    <w:pPr>
      <w:pStyle w:val="Footer"/>
      <w:framePr w:wrap="around" w:vAnchor="text" w:hAnchor="margin"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584A">
      <w:rPr>
        <w:rStyle w:val="PageNumber"/>
        <w:noProof/>
      </w:rPr>
      <w:t>12</w:t>
    </w:r>
    <w:r>
      <w:rPr>
        <w:rStyle w:val="PageNumber"/>
      </w:rPr>
      <w:fldChar w:fldCharType="end"/>
    </w:r>
  </w:p>
  <w:p w14:paraId="5258C18A" w14:textId="77777777" w:rsidR="003B1EAA" w:rsidRPr="00E304BC" w:rsidRDefault="003B1EAA" w:rsidP="00CB3BA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07FA" w14:textId="77777777" w:rsidR="003B1EAA" w:rsidRDefault="003B1EAA" w:rsidP="00E304B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7E0D477" w14:textId="77777777" w:rsidR="003B1EAA" w:rsidRPr="00CF472A" w:rsidRDefault="003B1EAA" w:rsidP="00E304BC">
    <w:pPr>
      <w:pStyle w:val="Footer"/>
      <w:rPr>
        <w:rStyle w:val="PageNumber"/>
        <w:color w:val="999999"/>
        <w:sz w:val="18"/>
      </w:rPr>
    </w:pPr>
    <w:r w:rsidRPr="00CF472A">
      <w:rPr>
        <w:rStyle w:val="PageNumber"/>
        <w:color w:val="999999"/>
        <w:sz w:val="18"/>
      </w:rPr>
      <w:t>Published by UTHM Publisher</w:t>
    </w:r>
  </w:p>
  <w:p w14:paraId="1743C07C" w14:textId="77777777" w:rsidR="003B1EAA" w:rsidRPr="00CF472A" w:rsidRDefault="003B1EAA" w:rsidP="00E304BC">
    <w:pPr>
      <w:pStyle w:val="Footer"/>
      <w:rPr>
        <w:color w:val="999999"/>
        <w:sz w:val="18"/>
      </w:rPr>
    </w:pPr>
    <w:r w:rsidRPr="00CF472A">
      <w:rPr>
        <w:color w:val="999999"/>
        <w:sz w:val="18"/>
      </w:rPr>
      <w:t>http://www.uthm.publisher.edu.my/ojs/ijie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242D" w14:textId="001BEA91" w:rsidR="003B1EAA" w:rsidRDefault="003B1EAA" w:rsidP="003A58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584A">
      <w:rPr>
        <w:rStyle w:val="PageNumber"/>
        <w:noProof/>
      </w:rPr>
      <w:t>1</w:t>
    </w:r>
    <w:r>
      <w:rPr>
        <w:rStyle w:val="PageNumber"/>
      </w:rPr>
      <w:fldChar w:fldCharType="end"/>
    </w:r>
  </w:p>
  <w:p w14:paraId="28A9A140" w14:textId="77777777" w:rsidR="003B1EAA" w:rsidRPr="006373A9" w:rsidRDefault="003B1EAA" w:rsidP="00444E3A">
    <w:pPr>
      <w:rPr>
        <w:i/>
        <w:sz w:val="22"/>
        <w:szCs w:val="22"/>
        <w:lang w:val="pt-BR"/>
      </w:rPr>
    </w:pPr>
    <w:r>
      <w:rPr>
        <w:i/>
        <w:noProof/>
        <w:szCs w:val="22"/>
        <w:lang w:val="en-MY" w:eastAsia="en-MY"/>
      </w:rPr>
      <mc:AlternateContent>
        <mc:Choice Requires="wps">
          <w:drawing>
            <wp:anchor distT="4294967295" distB="4294967295" distL="114300" distR="114300" simplePos="0" relativeHeight="251657728" behindDoc="0" locked="0" layoutInCell="1" allowOverlap="1" wp14:anchorId="66AD60FA" wp14:editId="246E4E55">
              <wp:simplePos x="0" y="0"/>
              <wp:positionH relativeFrom="column">
                <wp:posOffset>9525</wp:posOffset>
              </wp:positionH>
              <wp:positionV relativeFrom="paragraph">
                <wp:posOffset>-41276</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line w14:anchorId="4217C853"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7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ehEAIAACk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" strokeweight="1pt"/>
          </w:pict>
        </mc:Fallback>
      </mc:AlternateContent>
    </w:r>
    <w:r>
      <w:rPr>
        <w:i/>
        <w:szCs w:val="22"/>
        <w:lang w:val="pt-BR"/>
      </w:rPr>
      <w:t xml:space="preserve">*Corresponding author: </w:t>
    </w:r>
    <w:r>
      <w:fldChar w:fldCharType="begin"/>
    </w:r>
    <w:r>
      <w:instrText xml:space="preserve"> HYPERLINK "mailto:thanhpc.sp@gmail.com" </w:instrText>
    </w:r>
    <w:r>
      <w:fldChar w:fldCharType="separate"/>
    </w:r>
    <w:r w:rsidRPr="00E83EE7">
      <w:rPr>
        <w:rStyle w:val="Hyperlink"/>
        <w:i/>
        <w:szCs w:val="22"/>
        <w:lang w:val="pt-BR"/>
      </w:rPr>
      <w:t>thanhpc.sp@gmail.com</w:t>
    </w:r>
    <w:r>
      <w:rPr>
        <w:rStyle w:val="Hyperlink"/>
        <w:i/>
        <w:szCs w:val="22"/>
        <w:lang w:val="pt-BR"/>
      </w:rPr>
      <w:fldChar w:fldCharType="end"/>
    </w:r>
    <w:r>
      <w:rPr>
        <w:i/>
        <w:szCs w:val="22"/>
        <w:lang w:val="pt-BR"/>
      </w:rPr>
      <w:t xml:space="preserve"> </w:t>
    </w:r>
  </w:p>
  <w:p w14:paraId="0E9BD1FF" w14:textId="77777777" w:rsidR="003B1EAA" w:rsidRPr="006373A9" w:rsidRDefault="003B1EAA" w:rsidP="00444E3A">
    <w:pPr>
      <w:pStyle w:val="Footer"/>
      <w:rPr>
        <w:rStyle w:val="PageNumber"/>
        <w:sz w:val="18"/>
      </w:rPr>
    </w:pPr>
    <w:r>
      <w:rPr>
        <w:rStyle w:val="PageNumber"/>
        <w:sz w:val="18"/>
      </w:rPr>
      <w:t xml:space="preserve">2000 </w:t>
    </w:r>
    <w:r w:rsidRPr="006373A9">
      <w:rPr>
        <w:rStyle w:val="PageNumber"/>
        <w:sz w:val="18"/>
      </w:rPr>
      <w:t>UTHM Publisher. All right reserved.</w:t>
    </w:r>
  </w:p>
  <w:p w14:paraId="0AD3CA87" w14:textId="77777777" w:rsidR="003B1EAA" w:rsidRPr="00444E3A" w:rsidRDefault="003B1EAA" w:rsidP="00E304BC">
    <w:pPr>
      <w:pStyle w:val="Footer"/>
      <w:rPr>
        <w:color w:val="000000"/>
        <w:sz w:val="18"/>
      </w:rPr>
    </w:pPr>
    <w:r w:rsidRPr="00444E3A">
      <w:rPr>
        <w:color w:val="000000"/>
        <w:sz w:val="18"/>
      </w:rPr>
      <w:t>penerbi</w:t>
    </w:r>
    <w:r>
      <w:rPr>
        <w:color w:val="000000"/>
        <w:sz w:val="18"/>
      </w:rPr>
      <w:t>t.uthm.edu.my/</w:t>
    </w:r>
    <w:proofErr w:type="spellStart"/>
    <w:r>
      <w:rPr>
        <w:color w:val="000000"/>
        <w:sz w:val="18"/>
      </w:rPr>
      <w:t>ojs</w:t>
    </w:r>
    <w:proofErr w:type="spellEnd"/>
    <w:r>
      <w:rPr>
        <w:color w:val="000000"/>
        <w:sz w:val="18"/>
      </w:rPr>
      <w:t>/</w:t>
    </w:r>
    <w:proofErr w:type="spellStart"/>
    <w:r>
      <w:rPr>
        <w:color w:val="000000"/>
        <w:sz w:val="18"/>
      </w:rPr>
      <w:t>index.php</w:t>
    </w:r>
    <w:proofErr w:type="spellEnd"/>
    <w:r>
      <w:rPr>
        <w:color w:val="000000"/>
        <w:sz w:val="18"/>
      </w:rPr>
      <w:t>/</w:t>
    </w:r>
    <w:proofErr w:type="spellStart"/>
    <w:r>
      <w:rPr>
        <w:color w:val="000000"/>
        <w:sz w:val="18"/>
      </w:rPr>
      <w:t>jtet</w:t>
    </w:r>
    <w:proofErr w:type="spellEnd"/>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5E02" w14:textId="6A4ABCCC" w:rsidR="003B1EAA" w:rsidRDefault="003B1EAA" w:rsidP="00E304B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584A">
      <w:rPr>
        <w:rStyle w:val="PageNumber"/>
        <w:noProof/>
      </w:rPr>
      <w:t>11</w:t>
    </w:r>
    <w:r>
      <w:rPr>
        <w:rStyle w:val="PageNumber"/>
      </w:rPr>
      <w:fldChar w:fldCharType="end"/>
    </w:r>
  </w:p>
  <w:p w14:paraId="0B31752E" w14:textId="77777777" w:rsidR="003B1EAA" w:rsidRPr="00CF472A" w:rsidRDefault="003B1EAA" w:rsidP="00CB3BA0">
    <w:pPr>
      <w:pStyle w:val="Footer"/>
    </w:pPr>
  </w:p>
  <w:p w14:paraId="03692255" w14:textId="77777777" w:rsidR="003B1EAA" w:rsidRDefault="003B1EAA"/>
  <w:p w14:paraId="7356C854" w14:textId="77777777" w:rsidR="003B1EAA" w:rsidRDefault="003B1E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1E10" w14:textId="77777777" w:rsidR="00C7653E" w:rsidRDefault="00C7653E">
      <w:r>
        <w:separator/>
      </w:r>
    </w:p>
  </w:footnote>
  <w:footnote w:type="continuationSeparator" w:id="0">
    <w:p w14:paraId="42277E46" w14:textId="77777777" w:rsidR="00C7653E" w:rsidRDefault="00C76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7EA3" w14:textId="77777777" w:rsidR="003B1EAA" w:rsidRPr="00031243" w:rsidRDefault="003B1EAA" w:rsidP="00CB3BA0">
    <w:pPr>
      <w:pStyle w:val="Header"/>
      <w:rPr>
        <w:sz w:val="16"/>
        <w:szCs w:val="22"/>
      </w:rPr>
    </w:pPr>
    <w:proofErr w:type="spellStart"/>
    <w:r>
      <w:rPr>
        <w:sz w:val="16"/>
        <w:szCs w:val="22"/>
      </w:rPr>
      <w:t>Thanh</w:t>
    </w:r>
    <w:proofErr w:type="spellEnd"/>
    <w:r>
      <w:rPr>
        <w:sz w:val="16"/>
        <w:szCs w:val="22"/>
      </w:rPr>
      <w:t xml:space="preserve"> Chi Phan et al., Journal of Technical Education and Training Vol. 0 No. 0 (2019) p. 1-4</w:t>
    </w:r>
  </w:p>
  <w:p w14:paraId="5970F706" w14:textId="77777777" w:rsidR="003B1EAA" w:rsidRDefault="003B1EAA" w:rsidP="0099163C">
    <w:pPr>
      <w:rPr>
        <w:sz w:val="18"/>
        <w:szCs w:val="18"/>
      </w:rPr>
    </w:pPr>
  </w:p>
  <w:p w14:paraId="5DC189C7" w14:textId="77777777" w:rsidR="003B1EAA" w:rsidRDefault="003B1EAA" w:rsidP="00103E9F">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5144" w14:textId="77777777" w:rsidR="003B1EAA" w:rsidRPr="00031243" w:rsidRDefault="003B1EAA" w:rsidP="00CB3BA0">
    <w:pPr>
      <w:pStyle w:val="Header"/>
      <w:jc w:val="right"/>
      <w:rPr>
        <w:sz w:val="16"/>
        <w:szCs w:val="22"/>
      </w:rPr>
    </w:pPr>
    <w:r>
      <w:rPr>
        <w:sz w:val="16"/>
        <w:szCs w:val="22"/>
      </w:rPr>
      <w:t>Author 1 et al., Journal of Technical Education and Training Vol. 0 No. 0 (2000) p. 1-4</w:t>
    </w:r>
  </w:p>
  <w:p w14:paraId="7DE942A4" w14:textId="77777777" w:rsidR="003B1EAA" w:rsidRDefault="003B1EAA" w:rsidP="00103E9F">
    <w:pPr>
      <w:pStyle w:val="Header"/>
      <w:jc w:val="center"/>
    </w:pPr>
  </w:p>
  <w:p w14:paraId="78AE7C78" w14:textId="77777777" w:rsidR="003B1EAA" w:rsidRDefault="003B1E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ayout w:type="fixed"/>
      <w:tblLook w:val="04A0" w:firstRow="1" w:lastRow="0" w:firstColumn="1" w:lastColumn="0" w:noHBand="0" w:noVBand="1"/>
    </w:tblPr>
    <w:tblGrid>
      <w:gridCol w:w="1869"/>
      <w:gridCol w:w="6070"/>
      <w:gridCol w:w="1984"/>
    </w:tblGrid>
    <w:tr w:rsidR="003B1EAA" w14:paraId="0646BD13" w14:textId="77777777" w:rsidTr="00EC05DE">
      <w:trPr>
        <w:trHeight w:val="57"/>
        <w:jc w:val="center"/>
      </w:trPr>
      <w:tc>
        <w:tcPr>
          <w:tcW w:w="1869" w:type="dxa"/>
          <w:shd w:val="clear" w:color="auto" w:fill="auto"/>
          <w:vAlign w:val="bottom"/>
        </w:tcPr>
        <w:p w14:paraId="24DA7A70" w14:textId="77777777" w:rsidR="003B1EAA" w:rsidRDefault="003B1EAA" w:rsidP="00EC05DE">
          <w:pPr>
            <w:jc w:val="both"/>
          </w:pPr>
        </w:p>
      </w:tc>
      <w:tc>
        <w:tcPr>
          <w:tcW w:w="6070" w:type="dxa"/>
          <w:shd w:val="clear" w:color="auto" w:fill="auto"/>
        </w:tcPr>
        <w:p w14:paraId="6C97DF3F" w14:textId="77777777" w:rsidR="003B1EAA" w:rsidRPr="00EC05DE" w:rsidRDefault="003B1EAA" w:rsidP="00A05D8F">
          <w:pPr>
            <w:pStyle w:val="Running-head"/>
            <w:spacing w:after="240"/>
            <w:rPr>
              <w:sz w:val="16"/>
              <w:szCs w:val="16"/>
            </w:rPr>
          </w:pPr>
          <w:r>
            <w:rPr>
              <w:sz w:val="16"/>
              <w:szCs w:val="16"/>
            </w:rPr>
            <w:t>J</w:t>
          </w:r>
          <w:r w:rsidRPr="00EC05DE">
            <w:rPr>
              <w:sz w:val="16"/>
              <w:szCs w:val="16"/>
            </w:rPr>
            <w:t xml:space="preserve">ournal of </w:t>
          </w:r>
          <w:r>
            <w:rPr>
              <w:sz w:val="16"/>
              <w:szCs w:val="16"/>
            </w:rPr>
            <w:t>Technical Education and Training</w:t>
          </w:r>
          <w:r w:rsidRPr="00EC05DE">
            <w:rPr>
              <w:sz w:val="16"/>
              <w:szCs w:val="16"/>
            </w:rPr>
            <w:t xml:space="preserve"> Vol. </w:t>
          </w:r>
          <w:r w:rsidRPr="00EC05DE">
            <w:rPr>
              <w:iCs/>
              <w:sz w:val="16"/>
              <w:szCs w:val="16"/>
            </w:rPr>
            <w:t>0 No. 0 (20</w:t>
          </w:r>
          <w:r>
            <w:rPr>
              <w:iCs/>
              <w:sz w:val="16"/>
              <w:szCs w:val="16"/>
              <w:lang w:eastAsia="zh-CN"/>
            </w:rPr>
            <w:t>19</w:t>
          </w:r>
          <w:r w:rsidRPr="00EC05DE">
            <w:rPr>
              <w:iCs/>
              <w:sz w:val="16"/>
              <w:szCs w:val="16"/>
            </w:rPr>
            <w:t>) 000–000</w:t>
          </w:r>
        </w:p>
      </w:tc>
      <w:tc>
        <w:tcPr>
          <w:tcW w:w="1984" w:type="dxa"/>
          <w:shd w:val="clear" w:color="auto" w:fill="auto"/>
          <w:vAlign w:val="center"/>
        </w:tcPr>
        <w:p w14:paraId="195C5572" w14:textId="77777777" w:rsidR="003B1EAA" w:rsidRDefault="003B1EAA" w:rsidP="00EC05DE">
          <w:pPr>
            <w:pStyle w:val="Header"/>
            <w:tabs>
              <w:tab w:val="left" w:pos="6804"/>
            </w:tabs>
            <w:jc w:val="center"/>
          </w:pPr>
        </w:p>
      </w:tc>
    </w:tr>
    <w:tr w:rsidR="003B1EAA" w14:paraId="5DB71C4D" w14:textId="77777777" w:rsidTr="00EC05DE">
      <w:trPr>
        <w:trHeight w:val="57"/>
        <w:jc w:val="center"/>
      </w:trPr>
      <w:tc>
        <w:tcPr>
          <w:tcW w:w="1869" w:type="dxa"/>
          <w:tcBorders>
            <w:bottom w:val="double" w:sz="4" w:space="0" w:color="auto"/>
          </w:tcBorders>
          <w:shd w:val="clear" w:color="auto" w:fill="auto"/>
          <w:vAlign w:val="center"/>
        </w:tcPr>
        <w:p w14:paraId="62D04064" w14:textId="77777777" w:rsidR="003B1EAA" w:rsidRPr="00056920" w:rsidRDefault="003B1EAA" w:rsidP="00EC05DE">
          <w:pPr>
            <w:jc w:val="center"/>
          </w:pPr>
        </w:p>
      </w:tc>
      <w:tc>
        <w:tcPr>
          <w:tcW w:w="6070" w:type="dxa"/>
          <w:shd w:val="clear" w:color="auto" w:fill="auto"/>
        </w:tcPr>
        <w:p w14:paraId="6A4328E6" w14:textId="77777777" w:rsidR="003B1EAA" w:rsidRPr="002E206D" w:rsidRDefault="003B1EAA" w:rsidP="009A5B94"/>
      </w:tc>
      <w:tc>
        <w:tcPr>
          <w:tcW w:w="1984" w:type="dxa"/>
          <w:tcBorders>
            <w:bottom w:val="double" w:sz="4" w:space="0" w:color="auto"/>
          </w:tcBorders>
          <w:shd w:val="clear" w:color="auto" w:fill="auto"/>
          <w:vAlign w:val="center"/>
        </w:tcPr>
        <w:p w14:paraId="2D84E0F7" w14:textId="77777777" w:rsidR="003B1EAA" w:rsidRDefault="003B1EAA" w:rsidP="00EC05DE">
          <w:pPr>
            <w:pStyle w:val="Header"/>
            <w:tabs>
              <w:tab w:val="left" w:pos="6804"/>
            </w:tabs>
            <w:jc w:val="center"/>
          </w:pPr>
        </w:p>
      </w:tc>
    </w:tr>
    <w:tr w:rsidR="003B1EAA" w14:paraId="60B571E2" w14:textId="77777777" w:rsidTr="00EC05DE">
      <w:trPr>
        <w:trHeight w:val="57"/>
        <w:jc w:val="center"/>
      </w:trPr>
      <w:tc>
        <w:tcPr>
          <w:tcW w:w="1869" w:type="dxa"/>
          <w:tcBorders>
            <w:top w:val="double" w:sz="4" w:space="0" w:color="auto"/>
            <w:bottom w:val="double" w:sz="4" w:space="0" w:color="auto"/>
          </w:tcBorders>
          <w:shd w:val="clear" w:color="auto" w:fill="auto"/>
          <w:vAlign w:val="center"/>
        </w:tcPr>
        <w:p w14:paraId="54C59521" w14:textId="77777777" w:rsidR="003B1EAA" w:rsidRPr="00EC05DE" w:rsidRDefault="003B1EAA" w:rsidP="00EC05DE">
          <w:pPr>
            <w:pStyle w:val="Header"/>
            <w:tabs>
              <w:tab w:val="left" w:pos="6804"/>
            </w:tabs>
            <w:jc w:val="center"/>
            <w:rPr>
              <w:lang w:val="en-IN" w:eastAsia="en-IN"/>
            </w:rPr>
          </w:pPr>
          <w:r w:rsidRPr="00226309">
            <w:rPr>
              <w:noProof/>
              <w:lang w:val="en-MY" w:eastAsia="en-MY"/>
            </w:rPr>
            <w:drawing>
              <wp:inline distT="0" distB="0" distL="0" distR="0" wp14:anchorId="18EDB1C7" wp14:editId="71C9D2EA">
                <wp:extent cx="857250" cy="638175"/>
                <wp:effectExtent l="0" t="0" r="0" b="9525"/>
                <wp:docPr id="3" name="Picture 27" descr="logo-pener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penerb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tc>
      <w:tc>
        <w:tcPr>
          <w:tcW w:w="6070" w:type="dxa"/>
          <w:shd w:val="clear" w:color="auto" w:fill="auto"/>
        </w:tcPr>
        <w:p w14:paraId="3AF7070E" w14:textId="77777777" w:rsidR="003B1EAA" w:rsidRPr="00EC05DE" w:rsidRDefault="003B1EAA" w:rsidP="00EC05DE">
          <w:pPr>
            <w:pStyle w:val="Header"/>
            <w:tabs>
              <w:tab w:val="center" w:pos="3329"/>
              <w:tab w:val="left" w:pos="5284"/>
            </w:tabs>
            <w:spacing w:line="220" w:lineRule="atLeast"/>
            <w:jc w:val="center"/>
            <w:rPr>
              <w:rFonts w:ascii="Arial" w:hAnsi="Arial" w:cs="Arial"/>
              <w:sz w:val="18"/>
              <w:szCs w:val="18"/>
            </w:rPr>
          </w:pPr>
          <w:r w:rsidRPr="00EC05DE">
            <w:rPr>
              <w:iCs/>
              <w:sz w:val="18"/>
              <w:szCs w:val="18"/>
            </w:rPr>
            <w:t xml:space="preserve">© </w:t>
          </w:r>
          <w:proofErr w:type="spellStart"/>
          <w:r w:rsidRPr="00EC05DE">
            <w:rPr>
              <w:iCs/>
              <w:sz w:val="18"/>
              <w:szCs w:val="18"/>
            </w:rPr>
            <w:t>Universiti</w:t>
          </w:r>
          <w:proofErr w:type="spellEnd"/>
          <w:r w:rsidRPr="00EC05DE">
            <w:rPr>
              <w:iCs/>
              <w:sz w:val="18"/>
              <w:szCs w:val="18"/>
            </w:rPr>
            <w:t xml:space="preserve"> </w:t>
          </w:r>
          <w:proofErr w:type="spellStart"/>
          <w:r w:rsidRPr="00EC05DE">
            <w:rPr>
              <w:iCs/>
              <w:sz w:val="18"/>
              <w:szCs w:val="18"/>
            </w:rPr>
            <w:t>Tun</w:t>
          </w:r>
          <w:proofErr w:type="spellEnd"/>
          <w:r w:rsidRPr="00EC05DE">
            <w:rPr>
              <w:iCs/>
              <w:sz w:val="18"/>
              <w:szCs w:val="18"/>
            </w:rPr>
            <w:t xml:space="preserve"> Hussein Onn Malaysia Publisher’s Office</w:t>
          </w:r>
        </w:p>
        <w:p w14:paraId="31D6656D" w14:textId="77777777" w:rsidR="003B1EAA" w:rsidRPr="00EC05DE" w:rsidRDefault="003B1EAA" w:rsidP="00EC05DE">
          <w:pPr>
            <w:pStyle w:val="Header"/>
            <w:tabs>
              <w:tab w:val="center" w:pos="3329"/>
              <w:tab w:val="left" w:pos="5284"/>
            </w:tabs>
            <w:spacing w:line="220" w:lineRule="atLeast"/>
            <w:jc w:val="center"/>
            <w:rPr>
              <w:sz w:val="18"/>
              <w:szCs w:val="18"/>
            </w:rPr>
          </w:pPr>
        </w:p>
        <w:p w14:paraId="08FDC910" w14:textId="77777777" w:rsidR="003B1EAA" w:rsidRPr="00EC05DE" w:rsidRDefault="003B1EAA" w:rsidP="00EC05DE">
          <w:pPr>
            <w:pStyle w:val="Header"/>
            <w:jc w:val="center"/>
            <w:rPr>
              <w:rStyle w:val="Hyperlink"/>
              <w:rFonts w:ascii="Rockwell Extra Bold" w:hAnsi="Rockwell Extra Bold" w:cs="Arial"/>
              <w:b/>
              <w:i/>
              <w:iCs/>
              <w:color w:val="000000"/>
              <w:sz w:val="18"/>
            </w:rPr>
          </w:pPr>
          <w:r>
            <w:rPr>
              <w:rFonts w:ascii="Rockwell Extra Bold" w:hAnsi="Rockwell Extra Bold"/>
              <w:b/>
              <w:iCs/>
              <w:color w:val="000000"/>
              <w:sz w:val="33"/>
              <w:szCs w:val="33"/>
              <w:lang w:val="en-IN" w:eastAsia="en-IN"/>
            </w:rPr>
            <w:t>JTET</w:t>
          </w:r>
        </w:p>
        <w:p w14:paraId="0B1722B6" w14:textId="77777777" w:rsidR="003B1EAA" w:rsidRPr="00EC05DE" w:rsidRDefault="003B1EAA" w:rsidP="00EC05DE">
          <w:pPr>
            <w:pStyle w:val="Header"/>
            <w:jc w:val="center"/>
            <w:rPr>
              <w:rStyle w:val="Hyperlink"/>
              <w:rFonts w:ascii="Arial" w:hAnsi="Arial" w:cs="Arial"/>
              <w:iCs/>
              <w:sz w:val="18"/>
              <w:u w:val="none"/>
            </w:rPr>
          </w:pPr>
        </w:p>
        <w:p w14:paraId="119B66ED" w14:textId="77777777" w:rsidR="003B1EAA" w:rsidRDefault="00C7653E" w:rsidP="00EC05DE">
          <w:pPr>
            <w:pStyle w:val="Header"/>
            <w:spacing w:line="220" w:lineRule="atLeast"/>
            <w:jc w:val="center"/>
            <w:rPr>
              <w:iCs/>
              <w:sz w:val="18"/>
              <w:szCs w:val="18"/>
            </w:rPr>
          </w:pPr>
          <w:hyperlink r:id="rId2" w:history="1">
            <w:r w:rsidR="003B1EAA" w:rsidRPr="00A810FE">
              <w:rPr>
                <w:rStyle w:val="Hyperlink"/>
                <w:iCs/>
                <w:sz w:val="18"/>
                <w:szCs w:val="18"/>
              </w:rPr>
              <w:t>http://penerbit.uthm.edu.my/ojs/index.php/jtet</w:t>
            </w:r>
          </w:hyperlink>
        </w:p>
        <w:p w14:paraId="11C85E87" w14:textId="77777777" w:rsidR="003B1EAA" w:rsidRPr="00EC05DE" w:rsidRDefault="003B1EAA" w:rsidP="00C21E2F">
          <w:pPr>
            <w:pStyle w:val="Header"/>
            <w:spacing w:line="220" w:lineRule="atLeast"/>
            <w:jc w:val="center"/>
            <w:rPr>
              <w:sz w:val="18"/>
              <w:szCs w:val="18"/>
            </w:rPr>
          </w:pPr>
          <w:r>
            <w:rPr>
              <w:iCs/>
              <w:sz w:val="18"/>
              <w:szCs w:val="18"/>
            </w:rPr>
            <w:t xml:space="preserve">ISSN </w:t>
          </w:r>
          <w:r w:rsidRPr="0037137E">
            <w:rPr>
              <w:iCs/>
              <w:sz w:val="18"/>
              <w:szCs w:val="18"/>
              <w:highlight w:val="yellow"/>
            </w:rPr>
            <w:t>2229-8932</w:t>
          </w:r>
          <w:r w:rsidRPr="0037137E">
            <w:rPr>
              <w:iCs/>
              <w:sz w:val="18"/>
              <w:szCs w:val="18"/>
            </w:rPr>
            <w:t xml:space="preserve">   e-ISSN </w:t>
          </w:r>
          <w:r w:rsidRPr="0037137E">
            <w:rPr>
              <w:iCs/>
              <w:sz w:val="18"/>
              <w:szCs w:val="18"/>
              <w:highlight w:val="yellow"/>
            </w:rPr>
            <w:t>2600-7932</w:t>
          </w:r>
          <w:r w:rsidRPr="0037137E">
            <w:rPr>
              <w:iCs/>
              <w:sz w:val="18"/>
              <w:szCs w:val="18"/>
            </w:rPr>
            <w:t xml:space="preserve"> </w:t>
          </w:r>
          <w:r>
            <w:rPr>
              <w:iCs/>
              <w:sz w:val="18"/>
              <w:szCs w:val="18"/>
            </w:rPr>
            <w:t xml:space="preserve"> </w:t>
          </w:r>
        </w:p>
      </w:tc>
      <w:tc>
        <w:tcPr>
          <w:tcW w:w="1984" w:type="dxa"/>
          <w:tcBorders>
            <w:top w:val="double" w:sz="4" w:space="0" w:color="auto"/>
            <w:bottom w:val="double" w:sz="4" w:space="0" w:color="auto"/>
          </w:tcBorders>
          <w:shd w:val="clear" w:color="auto" w:fill="auto"/>
          <w:vAlign w:val="center"/>
        </w:tcPr>
        <w:p w14:paraId="4EDF1F02" w14:textId="77777777" w:rsidR="003B1EAA" w:rsidRPr="00EC05DE" w:rsidRDefault="003B1EAA" w:rsidP="00EC05DE">
          <w:pPr>
            <w:pStyle w:val="Header"/>
            <w:tabs>
              <w:tab w:val="left" w:pos="6804"/>
            </w:tabs>
            <w:jc w:val="center"/>
            <w:rPr>
              <w:lang w:val="en-IN" w:eastAsia="en-IN"/>
            </w:rPr>
          </w:pPr>
          <w:r>
            <w:t>Journal of Technical Education and Training</w:t>
          </w:r>
        </w:p>
      </w:tc>
    </w:tr>
    <w:tr w:rsidR="003B1EAA" w14:paraId="0446370A" w14:textId="77777777" w:rsidTr="00EC05DE">
      <w:trPr>
        <w:trHeight w:val="57"/>
        <w:jc w:val="center"/>
      </w:trPr>
      <w:tc>
        <w:tcPr>
          <w:tcW w:w="1869" w:type="dxa"/>
          <w:tcBorders>
            <w:top w:val="double" w:sz="4" w:space="0" w:color="auto"/>
          </w:tcBorders>
          <w:shd w:val="clear" w:color="auto" w:fill="auto"/>
        </w:tcPr>
        <w:p w14:paraId="2BDEC2FE" w14:textId="77777777" w:rsidR="003B1EAA" w:rsidRPr="00EC05DE" w:rsidRDefault="003B1EAA" w:rsidP="00EC05DE">
          <w:pPr>
            <w:pStyle w:val="Header"/>
            <w:tabs>
              <w:tab w:val="left" w:pos="6804"/>
            </w:tabs>
            <w:rPr>
              <w:lang w:val="en-IN" w:eastAsia="en-IN"/>
            </w:rPr>
          </w:pPr>
        </w:p>
      </w:tc>
      <w:tc>
        <w:tcPr>
          <w:tcW w:w="6070" w:type="dxa"/>
          <w:shd w:val="clear" w:color="auto" w:fill="auto"/>
        </w:tcPr>
        <w:p w14:paraId="1BEB6696" w14:textId="77777777" w:rsidR="003B1EAA" w:rsidRDefault="003B1EAA" w:rsidP="009A5B94"/>
      </w:tc>
      <w:tc>
        <w:tcPr>
          <w:tcW w:w="1984" w:type="dxa"/>
          <w:tcBorders>
            <w:top w:val="double" w:sz="4" w:space="0" w:color="auto"/>
          </w:tcBorders>
          <w:shd w:val="clear" w:color="auto" w:fill="auto"/>
          <w:vAlign w:val="center"/>
        </w:tcPr>
        <w:p w14:paraId="30CB59F1" w14:textId="77777777" w:rsidR="003B1EAA" w:rsidRPr="00EC05DE" w:rsidRDefault="003B1EAA" w:rsidP="00EC05DE">
          <w:pPr>
            <w:pStyle w:val="Header"/>
            <w:tabs>
              <w:tab w:val="left" w:pos="6804"/>
            </w:tabs>
            <w:jc w:val="center"/>
            <w:rPr>
              <w:lang w:val="en-IN" w:eastAsia="en-IN"/>
            </w:rPr>
          </w:pPr>
        </w:p>
      </w:tc>
    </w:tr>
  </w:tbl>
  <w:p w14:paraId="14BA2EDC" w14:textId="77777777" w:rsidR="003B1EAA" w:rsidRDefault="003B1EAA"/>
  <w:p w14:paraId="45A4788D" w14:textId="77777777" w:rsidR="003B1EAA" w:rsidRDefault="003B1EAA" w:rsidP="000312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08E62F2"/>
    <w:lvl w:ilvl="0">
      <w:start w:val="1"/>
      <w:numFmt w:val="lowerRoman"/>
      <w:lvlText w:val="%1."/>
      <w:lvlJc w:val="right"/>
      <w:pPr>
        <w:tabs>
          <w:tab w:val="num" w:pos="360"/>
        </w:tabs>
        <w:ind w:left="360" w:hanging="360"/>
      </w:pPr>
      <w:rPr>
        <w:rFonts w:hint="default"/>
      </w:rPr>
    </w:lvl>
  </w:abstractNum>
  <w:abstractNum w:abstractNumId="1" w15:restartNumberingAfterBreak="0">
    <w:nsid w:val="00847397"/>
    <w:multiLevelType w:val="hybridMultilevel"/>
    <w:tmpl w:val="7BCE2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74D0F"/>
    <w:multiLevelType w:val="hybridMultilevel"/>
    <w:tmpl w:val="E4CAD246"/>
    <w:lvl w:ilvl="0" w:tplc="FBCA12F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130AA"/>
    <w:multiLevelType w:val="multilevel"/>
    <w:tmpl w:val="DDDCFE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45E6D75"/>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E1464E5"/>
    <w:multiLevelType w:val="hybridMultilevel"/>
    <w:tmpl w:val="DC46F648"/>
    <w:lvl w:ilvl="0" w:tplc="CECAB1C2">
      <w:start w:val="1"/>
      <w:numFmt w:val="decimal"/>
      <w:pStyle w:val="Heading3"/>
      <w:lvlText w:val="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032EC"/>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7DB5B81"/>
    <w:multiLevelType w:val="hybridMultilevel"/>
    <w:tmpl w:val="E4983C90"/>
    <w:lvl w:ilvl="0" w:tplc="6B4A66B6">
      <w:start w:val="1"/>
      <w:numFmt w:val="decimal"/>
      <w:lvlText w:val="[%1]"/>
      <w:lvlJc w:val="left"/>
      <w:pPr>
        <w:ind w:left="432"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704B82"/>
    <w:multiLevelType w:val="hybridMultilevel"/>
    <w:tmpl w:val="F99EC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A612D9"/>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13629C3"/>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6A50781"/>
    <w:multiLevelType w:val="multilevel"/>
    <w:tmpl w:val="783C25E8"/>
    <w:lvl w:ilvl="0">
      <w:start w:val="1"/>
      <w:numFmt w:val="decimal"/>
      <w:pStyle w:val="Heading1"/>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78826C9"/>
    <w:multiLevelType w:val="hybridMultilevel"/>
    <w:tmpl w:val="A66A9D34"/>
    <w:lvl w:ilvl="0" w:tplc="B91E35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244BBA"/>
    <w:multiLevelType w:val="multilevel"/>
    <w:tmpl w:val="2B2EE7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7"/>
  </w:num>
  <w:num w:numId="3">
    <w:abstractNumId w:val="1"/>
  </w:num>
  <w:num w:numId="4">
    <w:abstractNumId w:val="12"/>
  </w:num>
  <w:num w:numId="5">
    <w:abstractNumId w:val="8"/>
  </w:num>
  <w:num w:numId="6">
    <w:abstractNumId w:val="3"/>
  </w:num>
  <w:num w:numId="7">
    <w:abstractNumId w:val="4"/>
  </w:num>
  <w:num w:numId="8">
    <w:abstractNumId w:val="13"/>
  </w:num>
  <w:num w:numId="9">
    <w:abstractNumId w:val="10"/>
  </w:num>
  <w:num w:numId="10">
    <w:abstractNumId w:val="9"/>
  </w:num>
  <w:num w:numId="11">
    <w:abstractNumId w:val="6"/>
  </w:num>
  <w:num w:numId="12">
    <w:abstractNumId w:val="11"/>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9F"/>
    <w:rsid w:val="000025E7"/>
    <w:rsid w:val="0000451D"/>
    <w:rsid w:val="000144CE"/>
    <w:rsid w:val="00031243"/>
    <w:rsid w:val="000A1751"/>
    <w:rsid w:val="000B04DC"/>
    <w:rsid w:val="000B3D59"/>
    <w:rsid w:val="000B7735"/>
    <w:rsid w:val="000C342A"/>
    <w:rsid w:val="000D4EA7"/>
    <w:rsid w:val="000F0BA4"/>
    <w:rsid w:val="000F6032"/>
    <w:rsid w:val="00103901"/>
    <w:rsid w:val="00103E9F"/>
    <w:rsid w:val="00115FEC"/>
    <w:rsid w:val="00132A27"/>
    <w:rsid w:val="00136BB8"/>
    <w:rsid w:val="0016261F"/>
    <w:rsid w:val="0018155D"/>
    <w:rsid w:val="00192187"/>
    <w:rsid w:val="001D5E95"/>
    <w:rsid w:val="001F6975"/>
    <w:rsid w:val="002142AC"/>
    <w:rsid w:val="0023787E"/>
    <w:rsid w:val="00280190"/>
    <w:rsid w:val="002803C5"/>
    <w:rsid w:val="00287301"/>
    <w:rsid w:val="00293ED7"/>
    <w:rsid w:val="002A602E"/>
    <w:rsid w:val="002C0E1B"/>
    <w:rsid w:val="003514D7"/>
    <w:rsid w:val="003518B0"/>
    <w:rsid w:val="00361702"/>
    <w:rsid w:val="00362CAC"/>
    <w:rsid w:val="0037137E"/>
    <w:rsid w:val="00382F14"/>
    <w:rsid w:val="003A4903"/>
    <w:rsid w:val="003A583D"/>
    <w:rsid w:val="003B1EAA"/>
    <w:rsid w:val="003D0C64"/>
    <w:rsid w:val="003E0DF3"/>
    <w:rsid w:val="003E35BB"/>
    <w:rsid w:val="00410D77"/>
    <w:rsid w:val="00416B59"/>
    <w:rsid w:val="00441B90"/>
    <w:rsid w:val="00444E3A"/>
    <w:rsid w:val="004614D2"/>
    <w:rsid w:val="00463AB4"/>
    <w:rsid w:val="00470C63"/>
    <w:rsid w:val="0049220E"/>
    <w:rsid w:val="004B2B7F"/>
    <w:rsid w:val="004B7E56"/>
    <w:rsid w:val="004D1B83"/>
    <w:rsid w:val="004D3882"/>
    <w:rsid w:val="004F49A8"/>
    <w:rsid w:val="00506D54"/>
    <w:rsid w:val="00551A64"/>
    <w:rsid w:val="00553BCC"/>
    <w:rsid w:val="0056038A"/>
    <w:rsid w:val="00566217"/>
    <w:rsid w:val="00572B06"/>
    <w:rsid w:val="00576120"/>
    <w:rsid w:val="00584CA4"/>
    <w:rsid w:val="005A30E2"/>
    <w:rsid w:val="005A58B2"/>
    <w:rsid w:val="005B2859"/>
    <w:rsid w:val="005B312F"/>
    <w:rsid w:val="005F00E5"/>
    <w:rsid w:val="005F2E06"/>
    <w:rsid w:val="005F6551"/>
    <w:rsid w:val="00605ED8"/>
    <w:rsid w:val="00633ABA"/>
    <w:rsid w:val="00640DDF"/>
    <w:rsid w:val="006576B2"/>
    <w:rsid w:val="00663BAD"/>
    <w:rsid w:val="006903B7"/>
    <w:rsid w:val="00690CEB"/>
    <w:rsid w:val="006A60F9"/>
    <w:rsid w:val="006B4558"/>
    <w:rsid w:val="006C0762"/>
    <w:rsid w:val="006C3308"/>
    <w:rsid w:val="006E07B5"/>
    <w:rsid w:val="006E4C91"/>
    <w:rsid w:val="00702FD4"/>
    <w:rsid w:val="007216EC"/>
    <w:rsid w:val="00733596"/>
    <w:rsid w:val="00752C89"/>
    <w:rsid w:val="007669D0"/>
    <w:rsid w:val="007A7E50"/>
    <w:rsid w:val="00831CA9"/>
    <w:rsid w:val="008459AB"/>
    <w:rsid w:val="00857BA2"/>
    <w:rsid w:val="00863649"/>
    <w:rsid w:val="00872207"/>
    <w:rsid w:val="008744C7"/>
    <w:rsid w:val="008756E1"/>
    <w:rsid w:val="00886948"/>
    <w:rsid w:val="008A596F"/>
    <w:rsid w:val="008B05BB"/>
    <w:rsid w:val="008B3278"/>
    <w:rsid w:val="008C67BA"/>
    <w:rsid w:val="008D45E5"/>
    <w:rsid w:val="00905969"/>
    <w:rsid w:val="009378D2"/>
    <w:rsid w:val="00947FB3"/>
    <w:rsid w:val="0098017A"/>
    <w:rsid w:val="0099163C"/>
    <w:rsid w:val="009922C0"/>
    <w:rsid w:val="00994BD8"/>
    <w:rsid w:val="009A5B94"/>
    <w:rsid w:val="009A7C1B"/>
    <w:rsid w:val="009A7DE3"/>
    <w:rsid w:val="009B0556"/>
    <w:rsid w:val="009B7E0C"/>
    <w:rsid w:val="009C39B3"/>
    <w:rsid w:val="009E5993"/>
    <w:rsid w:val="00A00D0F"/>
    <w:rsid w:val="00A05D8F"/>
    <w:rsid w:val="00A231D2"/>
    <w:rsid w:val="00A23401"/>
    <w:rsid w:val="00A2783D"/>
    <w:rsid w:val="00A379FE"/>
    <w:rsid w:val="00A4254E"/>
    <w:rsid w:val="00A43024"/>
    <w:rsid w:val="00A523ED"/>
    <w:rsid w:val="00A54041"/>
    <w:rsid w:val="00A65110"/>
    <w:rsid w:val="00A74583"/>
    <w:rsid w:val="00A810FE"/>
    <w:rsid w:val="00A85006"/>
    <w:rsid w:val="00AB6C58"/>
    <w:rsid w:val="00AC502C"/>
    <w:rsid w:val="00AE3077"/>
    <w:rsid w:val="00AF28C5"/>
    <w:rsid w:val="00AF6425"/>
    <w:rsid w:val="00B0316E"/>
    <w:rsid w:val="00B10364"/>
    <w:rsid w:val="00B27359"/>
    <w:rsid w:val="00B32C96"/>
    <w:rsid w:val="00B42524"/>
    <w:rsid w:val="00B64E33"/>
    <w:rsid w:val="00B810CA"/>
    <w:rsid w:val="00B85A31"/>
    <w:rsid w:val="00B9660B"/>
    <w:rsid w:val="00BA004A"/>
    <w:rsid w:val="00BA75F2"/>
    <w:rsid w:val="00BD07B0"/>
    <w:rsid w:val="00BD2237"/>
    <w:rsid w:val="00BD2454"/>
    <w:rsid w:val="00BF2214"/>
    <w:rsid w:val="00C01E7B"/>
    <w:rsid w:val="00C120CE"/>
    <w:rsid w:val="00C21E2F"/>
    <w:rsid w:val="00C33D28"/>
    <w:rsid w:val="00C35A21"/>
    <w:rsid w:val="00C363C2"/>
    <w:rsid w:val="00C410B1"/>
    <w:rsid w:val="00C7653E"/>
    <w:rsid w:val="00C81D60"/>
    <w:rsid w:val="00C84B9E"/>
    <w:rsid w:val="00CB3BA0"/>
    <w:rsid w:val="00CD4125"/>
    <w:rsid w:val="00CE056F"/>
    <w:rsid w:val="00CE7981"/>
    <w:rsid w:val="00D00594"/>
    <w:rsid w:val="00D12577"/>
    <w:rsid w:val="00D13F43"/>
    <w:rsid w:val="00D14196"/>
    <w:rsid w:val="00D20A90"/>
    <w:rsid w:val="00D37823"/>
    <w:rsid w:val="00D4584A"/>
    <w:rsid w:val="00D85BAA"/>
    <w:rsid w:val="00D86AFC"/>
    <w:rsid w:val="00D90739"/>
    <w:rsid w:val="00D919AE"/>
    <w:rsid w:val="00D9222F"/>
    <w:rsid w:val="00DA2C9E"/>
    <w:rsid w:val="00DE54B3"/>
    <w:rsid w:val="00E01E00"/>
    <w:rsid w:val="00E22629"/>
    <w:rsid w:val="00E23826"/>
    <w:rsid w:val="00E24678"/>
    <w:rsid w:val="00E304BC"/>
    <w:rsid w:val="00E43166"/>
    <w:rsid w:val="00E478F2"/>
    <w:rsid w:val="00E54851"/>
    <w:rsid w:val="00E65E2E"/>
    <w:rsid w:val="00E86216"/>
    <w:rsid w:val="00E90237"/>
    <w:rsid w:val="00E94512"/>
    <w:rsid w:val="00EA52FB"/>
    <w:rsid w:val="00EA54F2"/>
    <w:rsid w:val="00EA6AF8"/>
    <w:rsid w:val="00EB1E3A"/>
    <w:rsid w:val="00EB58AC"/>
    <w:rsid w:val="00EC05DE"/>
    <w:rsid w:val="00EE77DC"/>
    <w:rsid w:val="00F00AEC"/>
    <w:rsid w:val="00F06C90"/>
    <w:rsid w:val="00F208E2"/>
    <w:rsid w:val="00F534A1"/>
    <w:rsid w:val="00F63EDC"/>
    <w:rsid w:val="00F770B0"/>
    <w:rsid w:val="00F77AF3"/>
    <w:rsid w:val="00F82CFD"/>
    <w:rsid w:val="00FA2086"/>
    <w:rsid w:val="00FA3A3F"/>
    <w:rsid w:val="00FB2CEF"/>
    <w:rsid w:val="00FD280F"/>
    <w:rsid w:val="00FD4391"/>
    <w:rsid w:val="00FD5900"/>
    <w:rsid w:val="00FD5B22"/>
    <w:rsid w:val="00F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66D977C9"/>
  <w15:docId w15:val="{252D56FD-8D68-43A6-A83D-AB941538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89"/>
    <w:rPr>
      <w:szCs w:val="24"/>
      <w:lang w:val="en-US" w:eastAsia="en-US"/>
    </w:rPr>
  </w:style>
  <w:style w:type="paragraph" w:styleId="Heading1">
    <w:name w:val="heading 1"/>
    <w:basedOn w:val="Normal"/>
    <w:next w:val="Normal"/>
    <w:link w:val="Heading1Char"/>
    <w:qFormat/>
    <w:rsid w:val="00C81D60"/>
    <w:pPr>
      <w:keepNext/>
      <w:numPr>
        <w:numId w:val="12"/>
      </w:numPr>
      <w:spacing w:before="240" w:after="60"/>
      <w:ind w:left="0" w:firstLine="0"/>
      <w:outlineLvl w:val="0"/>
    </w:pPr>
    <w:rPr>
      <w:rFonts w:eastAsia="Times New Roman"/>
      <w:b/>
      <w:bCs/>
      <w:kern w:val="32"/>
      <w:sz w:val="24"/>
      <w:szCs w:val="32"/>
    </w:rPr>
  </w:style>
  <w:style w:type="paragraph" w:styleId="Heading2">
    <w:name w:val="heading 2"/>
    <w:next w:val="Normal"/>
    <w:qFormat/>
    <w:rsid w:val="003A4903"/>
    <w:pPr>
      <w:numPr>
        <w:numId w:val="13"/>
      </w:numPr>
      <w:spacing w:before="240" w:after="60"/>
      <w:ind w:left="0" w:firstLine="0"/>
      <w:outlineLvl w:val="1"/>
    </w:pPr>
    <w:rPr>
      <w:rFonts w:eastAsia="Times New Roman" w:cs="Arial"/>
      <w:b/>
      <w:bCs/>
      <w:iCs/>
      <w:sz w:val="24"/>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3E9F"/>
    <w:rPr>
      <w:color w:val="0000FF"/>
      <w:u w:val="single"/>
    </w:rPr>
  </w:style>
  <w:style w:type="paragraph" w:styleId="Header">
    <w:name w:val="header"/>
    <w:aliases w:val="page-number"/>
    <w:basedOn w:val="Normal"/>
    <w:link w:val="HeaderChar"/>
    <w:unhideWhenUsed/>
    <w:rsid w:val="00103E9F"/>
    <w:pPr>
      <w:tabs>
        <w:tab w:val="center" w:pos="4513"/>
        <w:tab w:val="right" w:pos="9026"/>
      </w:tabs>
    </w:pPr>
  </w:style>
  <w:style w:type="character" w:customStyle="1" w:styleId="HeaderChar">
    <w:name w:val="Header Char"/>
    <w:aliases w:val="page-number Char"/>
    <w:link w:val="Header"/>
    <w:rsid w:val="00103E9F"/>
    <w:rPr>
      <w:rFonts w:eastAsia="MS Mincho"/>
      <w:sz w:val="24"/>
      <w:szCs w:val="24"/>
      <w:lang w:val="en-US" w:eastAsia="en-US" w:bidi="ar-SA"/>
    </w:rPr>
  </w:style>
  <w:style w:type="paragraph" w:styleId="Footer">
    <w:name w:val="footer"/>
    <w:basedOn w:val="Normal"/>
    <w:link w:val="FooterChar"/>
    <w:unhideWhenUsed/>
    <w:rsid w:val="00103E9F"/>
    <w:pPr>
      <w:tabs>
        <w:tab w:val="center" w:pos="4513"/>
        <w:tab w:val="right" w:pos="9026"/>
      </w:tabs>
    </w:pPr>
  </w:style>
  <w:style w:type="character" w:customStyle="1" w:styleId="FooterChar">
    <w:name w:val="Footer Char"/>
    <w:link w:val="Footer"/>
    <w:rsid w:val="00103E9F"/>
    <w:rPr>
      <w:rFonts w:eastAsia="MS Mincho"/>
      <w:sz w:val="24"/>
      <w:szCs w:val="24"/>
      <w:lang w:val="en-US" w:eastAsia="en-US" w:bidi="ar-SA"/>
    </w:rPr>
  </w:style>
  <w:style w:type="character" w:styleId="PageNumber">
    <w:name w:val="page number"/>
    <w:basedOn w:val="DefaultParagraphFont"/>
    <w:rsid w:val="00103E9F"/>
  </w:style>
  <w:style w:type="table" w:styleId="TableGrid">
    <w:name w:val="Table Grid"/>
    <w:basedOn w:val="TableNormal"/>
    <w:uiPriority w:val="59"/>
    <w:rsid w:val="00B6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qFormat/>
    <w:rsid w:val="009A5B94"/>
    <w:pPr>
      <w:tabs>
        <w:tab w:val="clear" w:pos="4513"/>
        <w:tab w:val="clear" w:pos="9026"/>
        <w:tab w:val="center" w:pos="4706"/>
        <w:tab w:val="center" w:pos="4920"/>
        <w:tab w:val="right" w:pos="9356"/>
      </w:tabs>
      <w:spacing w:after="80" w:line="200" w:lineRule="exact"/>
      <w:jc w:val="center"/>
    </w:pPr>
    <w:rPr>
      <w:rFonts w:eastAsia="SimSun"/>
      <w:smallCaps/>
      <w:noProof/>
      <w:sz w:val="14"/>
      <w:szCs w:val="20"/>
    </w:rPr>
  </w:style>
  <w:style w:type="character" w:customStyle="1" w:styleId="Heading1Char">
    <w:name w:val="Heading 1 Char"/>
    <w:link w:val="Heading1"/>
    <w:rsid w:val="00C81D60"/>
    <w:rPr>
      <w:rFonts w:eastAsia="Times New Roman"/>
      <w:b/>
      <w:bCs/>
      <w:kern w:val="32"/>
      <w:sz w:val="24"/>
      <w:szCs w:val="32"/>
      <w:lang w:val="en-US" w:eastAsia="en-US"/>
    </w:rPr>
  </w:style>
  <w:style w:type="paragraph" w:customStyle="1" w:styleId="Els-table-caption">
    <w:name w:val="Els-table-caption"/>
    <w:rsid w:val="00F770B0"/>
    <w:pPr>
      <w:keepLines/>
      <w:spacing w:before="230" w:after="230" w:line="200" w:lineRule="exact"/>
    </w:pPr>
    <w:rPr>
      <w:rFonts w:eastAsia="SimSun"/>
      <w:b/>
      <w:sz w:val="16"/>
      <w:lang w:val="en-US" w:eastAsia="en-US"/>
    </w:rPr>
  </w:style>
  <w:style w:type="paragraph" w:customStyle="1" w:styleId="Els-table-text">
    <w:name w:val="Els-table-text"/>
    <w:rsid w:val="00F770B0"/>
    <w:pPr>
      <w:spacing w:after="80" w:line="200" w:lineRule="exact"/>
    </w:pPr>
    <w:rPr>
      <w:rFonts w:eastAsia="SimSun"/>
      <w:sz w:val="14"/>
      <w:lang w:val="en-US" w:eastAsia="en-US"/>
    </w:rPr>
  </w:style>
  <w:style w:type="paragraph" w:customStyle="1" w:styleId="Els-table-col-head">
    <w:name w:val="Els-table-col-head"/>
    <w:basedOn w:val="Els-table-text"/>
    <w:qFormat/>
    <w:rsid w:val="00F770B0"/>
    <w:rPr>
      <w:b/>
      <w:sz w:val="16"/>
    </w:rPr>
  </w:style>
  <w:style w:type="paragraph" w:customStyle="1" w:styleId="Els-equation">
    <w:name w:val="Els-equation"/>
    <w:next w:val="Normal"/>
    <w:rsid w:val="00D13F43"/>
    <w:pPr>
      <w:widowControl w:val="0"/>
      <w:tabs>
        <w:tab w:val="right" w:pos="4320"/>
        <w:tab w:val="right" w:pos="9120"/>
      </w:tabs>
      <w:spacing w:before="230" w:after="230" w:line="360" w:lineRule="auto"/>
    </w:pPr>
    <w:rPr>
      <w:rFonts w:eastAsia="SimSun"/>
      <w:i/>
      <w:noProof/>
      <w:sz w:val="16"/>
      <w:lang w:val="en-US" w:eastAsia="en-US"/>
    </w:rPr>
  </w:style>
  <w:style w:type="character" w:styleId="Emphasis">
    <w:name w:val="Emphasis"/>
    <w:uiPriority w:val="20"/>
    <w:qFormat/>
    <w:rsid w:val="00872207"/>
    <w:rPr>
      <w:i/>
      <w:iCs/>
    </w:rPr>
  </w:style>
  <w:style w:type="paragraph" w:customStyle="1" w:styleId="Heading3">
    <w:name w:val="Heading 3."/>
    <w:basedOn w:val="Normal"/>
    <w:qFormat/>
    <w:rsid w:val="00AF6425"/>
    <w:pPr>
      <w:numPr>
        <w:numId w:val="14"/>
      </w:numPr>
      <w:tabs>
        <w:tab w:val="num" w:pos="360"/>
        <w:tab w:val="left" w:pos="4203"/>
      </w:tabs>
      <w:spacing w:after="80"/>
      <w:ind w:left="0" w:firstLine="0"/>
    </w:pPr>
    <w:rPr>
      <w:sz w:val="22"/>
    </w:rPr>
  </w:style>
  <w:style w:type="paragraph" w:styleId="ListParagraph">
    <w:name w:val="List Paragraph"/>
    <w:basedOn w:val="Normal"/>
    <w:uiPriority w:val="72"/>
    <w:qFormat/>
    <w:rsid w:val="00FD280F"/>
    <w:pPr>
      <w:ind w:left="720"/>
    </w:pPr>
  </w:style>
  <w:style w:type="paragraph" w:customStyle="1" w:styleId="Acknowledgement">
    <w:name w:val="Acknowledgement"/>
    <w:basedOn w:val="Normal"/>
    <w:qFormat/>
    <w:rsid w:val="00752C89"/>
    <w:pPr>
      <w:keepNext/>
      <w:keepLines/>
      <w:tabs>
        <w:tab w:val="left" w:pos="4203"/>
      </w:tabs>
      <w:spacing w:before="240" w:after="80"/>
    </w:pPr>
    <w:rPr>
      <w:b/>
      <w:szCs w:val="20"/>
    </w:rPr>
  </w:style>
  <w:style w:type="paragraph" w:customStyle="1" w:styleId="Reference">
    <w:name w:val="Reference"/>
    <w:basedOn w:val="Normal"/>
    <w:qFormat/>
    <w:rsid w:val="00AB6C58"/>
    <w:pPr>
      <w:spacing w:before="120" w:after="120"/>
      <w:jc w:val="both"/>
    </w:pPr>
    <w:rPr>
      <w:color w:val="464646"/>
      <w:szCs w:val="20"/>
      <w:shd w:val="clear" w:color="auto" w:fill="FFFFFF"/>
    </w:rPr>
  </w:style>
  <w:style w:type="paragraph" w:styleId="BalloonText">
    <w:name w:val="Balloon Text"/>
    <w:basedOn w:val="Normal"/>
    <w:link w:val="BalloonTextChar"/>
    <w:rsid w:val="00FD5900"/>
    <w:rPr>
      <w:rFonts w:ascii="Tahoma" w:hAnsi="Tahoma" w:cs="Tahoma"/>
      <w:sz w:val="16"/>
      <w:szCs w:val="16"/>
    </w:rPr>
  </w:style>
  <w:style w:type="character" w:customStyle="1" w:styleId="BalloonTextChar">
    <w:name w:val="Balloon Text Char"/>
    <w:basedOn w:val="DefaultParagraphFont"/>
    <w:link w:val="BalloonText"/>
    <w:rsid w:val="00FD5900"/>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51A64"/>
    <w:rPr>
      <w:rFonts w:ascii="Garamond" w:eastAsia="Times New Roman" w:hAnsi="Garamond"/>
      <w:kern w:val="20"/>
      <w:szCs w:val="20"/>
      <w14:ligatures w14:val="all"/>
      <w14:stylisticSets>
        <w14:styleSet w14:id="5"/>
      </w14:stylisticSets>
      <w14:cntxtAlts/>
    </w:rPr>
  </w:style>
  <w:style w:type="character" w:customStyle="1" w:styleId="FootnoteTextChar">
    <w:name w:val="Footnote Text Char"/>
    <w:basedOn w:val="DefaultParagraphFont"/>
    <w:link w:val="FootnoteText"/>
    <w:uiPriority w:val="99"/>
    <w:semiHidden/>
    <w:rsid w:val="00551A64"/>
    <w:rPr>
      <w:rFonts w:ascii="Garamond" w:eastAsia="Times New Roman" w:hAnsi="Garamond"/>
      <w:kern w:val="20"/>
      <w:lang w:val="en-US" w:eastAsia="en-US"/>
      <w14:ligatures w14:val="all"/>
      <w14:stylisticSets>
        <w14:styleSet w14:id="5"/>
      </w14:stylisticSets>
      <w14:cntxtAlts/>
    </w:rPr>
  </w:style>
  <w:style w:type="character" w:styleId="FootnoteReference">
    <w:name w:val="footnote reference"/>
    <w:basedOn w:val="DefaultParagraphFont"/>
    <w:uiPriority w:val="99"/>
    <w:semiHidden/>
    <w:unhideWhenUsed/>
    <w:rsid w:val="00551A64"/>
    <w:rPr>
      <w:vertAlign w:val="superscript"/>
    </w:rPr>
  </w:style>
  <w:style w:type="character" w:customStyle="1" w:styleId="fontstyle01">
    <w:name w:val="fontstyle01"/>
    <w:basedOn w:val="DefaultParagraphFont"/>
    <w:rsid w:val="00F208E2"/>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56038A"/>
    <w:rPr>
      <w:rFonts w:ascii="Symbol" w:hAnsi="Symbol" w:hint="default"/>
      <w:b w:val="0"/>
      <w:bCs w:val="0"/>
      <w:i w:val="0"/>
      <w:iCs w:val="0"/>
      <w:color w:val="000000"/>
      <w:sz w:val="36"/>
      <w:szCs w:val="36"/>
    </w:rPr>
  </w:style>
  <w:style w:type="character" w:styleId="CommentReference">
    <w:name w:val="annotation reference"/>
    <w:basedOn w:val="DefaultParagraphFont"/>
    <w:semiHidden/>
    <w:unhideWhenUsed/>
    <w:rsid w:val="003B1EAA"/>
    <w:rPr>
      <w:sz w:val="16"/>
      <w:szCs w:val="16"/>
    </w:rPr>
  </w:style>
  <w:style w:type="paragraph" w:styleId="CommentText">
    <w:name w:val="annotation text"/>
    <w:basedOn w:val="Normal"/>
    <w:link w:val="CommentTextChar"/>
    <w:semiHidden/>
    <w:unhideWhenUsed/>
    <w:rsid w:val="003B1EAA"/>
    <w:rPr>
      <w:szCs w:val="20"/>
    </w:rPr>
  </w:style>
  <w:style w:type="character" w:customStyle="1" w:styleId="CommentTextChar">
    <w:name w:val="Comment Text Char"/>
    <w:basedOn w:val="DefaultParagraphFont"/>
    <w:link w:val="CommentText"/>
    <w:semiHidden/>
    <w:rsid w:val="003B1EAA"/>
    <w:rPr>
      <w:lang w:val="en-US" w:eastAsia="en-US"/>
    </w:rPr>
  </w:style>
  <w:style w:type="paragraph" w:styleId="CommentSubject">
    <w:name w:val="annotation subject"/>
    <w:basedOn w:val="CommentText"/>
    <w:next w:val="CommentText"/>
    <w:link w:val="CommentSubjectChar"/>
    <w:semiHidden/>
    <w:unhideWhenUsed/>
    <w:rsid w:val="003B1EAA"/>
    <w:rPr>
      <w:b/>
      <w:bCs/>
    </w:rPr>
  </w:style>
  <w:style w:type="character" w:customStyle="1" w:styleId="CommentSubjectChar">
    <w:name w:val="Comment Subject Char"/>
    <w:basedOn w:val="CommentTextChar"/>
    <w:link w:val="CommentSubject"/>
    <w:semiHidden/>
    <w:rsid w:val="003B1EA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07/relationships/hdphoto" Target="media/hdphoto1.wdp"/><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llt.msu.edu/issues/october2012/fuchsetal.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careeronestop.org/CompetencyModel/pyramid.aspx?IT=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ste.org/standards/for-education-leader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ste.org/standards/standards-for-teachers"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www.westga.edu/~distance/ojdla/winter174/gascoigne_parnell174.html"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penerbit.uthm.edu.my/ojs/index.php/jtet"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NCS%20PCT\2019\BAN%20LUU\THUC%20NGHIEM%20(Chap%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NCS%20PCT\2019\BAN%20LUU\THUC%20NGHIEM%20(Chap%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1" i="0" baseline="0">
                <a:effectLst/>
                <a:latin typeface="Times New Roman" panose="02020603050405020304" pitchFamily="18" charset="0"/>
                <a:cs typeface="Times New Roman" panose="02020603050405020304" pitchFamily="18" charset="0"/>
              </a:rPr>
              <a:t>f</a:t>
            </a:r>
            <a:r>
              <a:rPr lang="en-US" sz="1200" b="1" i="0" baseline="-25000">
                <a:effectLst/>
                <a:latin typeface="Times New Roman" panose="02020603050405020304" pitchFamily="18" charset="0"/>
                <a:cs typeface="Times New Roman" panose="02020603050405020304" pitchFamily="18" charset="0"/>
              </a:rPr>
              <a:t>i</a:t>
            </a:r>
            <a:r>
              <a:rPr lang="en-US" sz="1200" b="1" i="0" baseline="0">
                <a:effectLst/>
                <a:latin typeface="Times New Roman" panose="02020603050405020304" pitchFamily="18" charset="0"/>
                <a:cs typeface="Times New Roman" panose="02020603050405020304" pitchFamily="18" charset="0"/>
              </a:rPr>
              <a:t> frequency of distribution</a:t>
            </a:r>
            <a:endParaRPr lang="en-US" sz="1200" b="1">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2.70745904968187E-2"/>
          <c:y val="0.160281093115721"/>
          <c:w val="0.94043590090699902"/>
          <c:h val="0.474902322680538"/>
        </c:manualLayout>
      </c:layout>
      <c:lineChart>
        <c:grouping val="standard"/>
        <c:varyColors val="0"/>
        <c:ser>
          <c:idx val="0"/>
          <c:order val="0"/>
          <c:tx>
            <c:strRef>
              <c:f>'TN_2 (Eng)'!$A$19:$B$19</c:f>
              <c:strCache>
                <c:ptCount val="2"/>
                <c:pt idx="0">
                  <c:v>EC</c:v>
                </c:pt>
                <c:pt idx="1">
                  <c:v>36</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'TN_2 (Eng)'!$C$16:$J$18</c:f>
              <c:multiLvlStrCache>
                <c:ptCount val="8"/>
                <c:lvl>
                  <c:pt idx="0">
                    <c:v>(8,5-10)</c:v>
                  </c:pt>
                  <c:pt idx="1">
                    <c:v>(8,0-8,4)</c:v>
                  </c:pt>
                  <c:pt idx="2">
                    <c:v>(7,0-7,9)</c:v>
                  </c:pt>
                  <c:pt idx="3">
                    <c:v>(6,5-6,9)</c:v>
                  </c:pt>
                  <c:pt idx="4">
                    <c:v>(5,5-6,4)</c:v>
                  </c:pt>
                  <c:pt idx="5">
                    <c:v>(5,0-5,4)</c:v>
                  </c:pt>
                  <c:pt idx="6">
                    <c:v>(4,0-4,9)</c:v>
                  </c:pt>
                  <c:pt idx="7">
                    <c:v>(&lt; 4,0)</c:v>
                  </c:pt>
                </c:lvl>
                <c:lvl>
                  <c:pt idx="0">
                    <c:v>A</c:v>
                  </c:pt>
                  <c:pt idx="1">
                    <c:v>B+</c:v>
                  </c:pt>
                  <c:pt idx="2">
                    <c:v>B</c:v>
                  </c:pt>
                  <c:pt idx="3">
                    <c:v>C+</c:v>
                  </c:pt>
                  <c:pt idx="4">
                    <c:v>C</c:v>
                  </c:pt>
                  <c:pt idx="5">
                    <c:v>D+</c:v>
                  </c:pt>
                  <c:pt idx="6">
                    <c:v>D</c:v>
                  </c:pt>
                  <c:pt idx="7">
                    <c:v>F</c:v>
                  </c:pt>
                </c:lvl>
                <c:lvl>
                  <c:pt idx="0">
                    <c:v>Number of exams with Xi score</c:v>
                  </c:pt>
                </c:lvl>
              </c:multiLvlStrCache>
            </c:multiLvlStrRef>
          </c:cat>
          <c:val>
            <c:numRef>
              <c:f>'TN_2 (Eng)'!$C$19:$J$19</c:f>
              <c:numCache>
                <c:formatCode>0.00</c:formatCode>
                <c:ptCount val="8"/>
                <c:pt idx="0">
                  <c:v>50</c:v>
                </c:pt>
                <c:pt idx="1">
                  <c:v>38.8888888888889</c:v>
                </c:pt>
                <c:pt idx="2">
                  <c:v>2.7777777777777781</c:v>
                </c:pt>
                <c:pt idx="3">
                  <c:v>2.7777777777777781</c:v>
                </c:pt>
                <c:pt idx="4">
                  <c:v>5.5555555555555527</c:v>
                </c:pt>
                <c:pt idx="5">
                  <c:v>0</c:v>
                </c:pt>
                <c:pt idx="6">
                  <c:v>0</c:v>
                </c:pt>
                <c:pt idx="7">
                  <c:v>0</c:v>
                </c:pt>
              </c:numCache>
            </c:numRef>
          </c:val>
          <c:smooth val="0"/>
          <c:extLst>
            <c:ext xmlns:c16="http://schemas.microsoft.com/office/drawing/2014/chart" uri="{C3380CC4-5D6E-409C-BE32-E72D297353CC}">
              <c16:uniqueId val="{00000000-7A92-4EA4-84E6-00761AB40BE1}"/>
            </c:ext>
          </c:extLst>
        </c:ser>
        <c:ser>
          <c:idx val="1"/>
          <c:order val="1"/>
          <c:tx>
            <c:strRef>
              <c:f>'TN_2 (Eng)'!$A$20:$B$20</c:f>
              <c:strCache>
                <c:ptCount val="2"/>
                <c:pt idx="0">
                  <c:v>CC</c:v>
                </c:pt>
                <c:pt idx="1">
                  <c:v>35</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'TN_2 (Eng)'!$C$16:$J$18</c:f>
              <c:multiLvlStrCache>
                <c:ptCount val="8"/>
                <c:lvl>
                  <c:pt idx="0">
                    <c:v>(8,5-10)</c:v>
                  </c:pt>
                  <c:pt idx="1">
                    <c:v>(8,0-8,4)</c:v>
                  </c:pt>
                  <c:pt idx="2">
                    <c:v>(7,0-7,9)</c:v>
                  </c:pt>
                  <c:pt idx="3">
                    <c:v>(6,5-6,9)</c:v>
                  </c:pt>
                  <c:pt idx="4">
                    <c:v>(5,5-6,4)</c:v>
                  </c:pt>
                  <c:pt idx="5">
                    <c:v>(5,0-5,4)</c:v>
                  </c:pt>
                  <c:pt idx="6">
                    <c:v>(4,0-4,9)</c:v>
                  </c:pt>
                  <c:pt idx="7">
                    <c:v>(&lt; 4,0)</c:v>
                  </c:pt>
                </c:lvl>
                <c:lvl>
                  <c:pt idx="0">
                    <c:v>A</c:v>
                  </c:pt>
                  <c:pt idx="1">
                    <c:v>B+</c:v>
                  </c:pt>
                  <c:pt idx="2">
                    <c:v>B</c:v>
                  </c:pt>
                  <c:pt idx="3">
                    <c:v>C+</c:v>
                  </c:pt>
                  <c:pt idx="4">
                    <c:v>C</c:v>
                  </c:pt>
                  <c:pt idx="5">
                    <c:v>D+</c:v>
                  </c:pt>
                  <c:pt idx="6">
                    <c:v>D</c:v>
                  </c:pt>
                  <c:pt idx="7">
                    <c:v>F</c:v>
                  </c:pt>
                </c:lvl>
                <c:lvl>
                  <c:pt idx="0">
                    <c:v>Number of exams with Xi score</c:v>
                  </c:pt>
                </c:lvl>
              </c:multiLvlStrCache>
            </c:multiLvlStrRef>
          </c:cat>
          <c:val>
            <c:numRef>
              <c:f>'TN_2 (Eng)'!$C$20:$J$20</c:f>
              <c:numCache>
                <c:formatCode>0.00</c:formatCode>
                <c:ptCount val="8"/>
                <c:pt idx="0">
                  <c:v>28.571428571428569</c:v>
                </c:pt>
                <c:pt idx="1">
                  <c:v>17.142857142857149</c:v>
                </c:pt>
                <c:pt idx="2">
                  <c:v>17.142857142857149</c:v>
                </c:pt>
                <c:pt idx="3">
                  <c:v>25.714285714285719</c:v>
                </c:pt>
                <c:pt idx="4">
                  <c:v>8.5714285714285712</c:v>
                </c:pt>
                <c:pt idx="5">
                  <c:v>2.8571428571428572</c:v>
                </c:pt>
                <c:pt idx="6">
                  <c:v>0</c:v>
                </c:pt>
                <c:pt idx="7">
                  <c:v>0</c:v>
                </c:pt>
              </c:numCache>
            </c:numRef>
          </c:val>
          <c:smooth val="0"/>
          <c:extLst>
            <c:ext xmlns:c16="http://schemas.microsoft.com/office/drawing/2014/chart" uri="{C3380CC4-5D6E-409C-BE32-E72D297353CC}">
              <c16:uniqueId val="{00000001-7A92-4EA4-84E6-00761AB40BE1}"/>
            </c:ext>
          </c:extLst>
        </c:ser>
        <c:dLbls>
          <c:dLblPos val="ctr"/>
          <c:showLegendKey val="0"/>
          <c:showVal val="1"/>
          <c:showCatName val="0"/>
          <c:showSerName val="0"/>
          <c:showPercent val="0"/>
          <c:showBubbleSize val="0"/>
        </c:dLbls>
        <c:marker val="1"/>
        <c:smooth val="0"/>
        <c:axId val="1113072688"/>
        <c:axId val="1113076816"/>
      </c:lineChart>
      <c:catAx>
        <c:axId val="11130726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13076816"/>
        <c:crosses val="autoZero"/>
        <c:auto val="1"/>
        <c:lblAlgn val="ctr"/>
        <c:lblOffset val="100"/>
        <c:noMultiLvlLbl val="0"/>
      </c:catAx>
      <c:valAx>
        <c:axId val="1113076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1130726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b="1" i="0" u="none" strike="noStrike" baseline="0">
                <a:effectLst/>
                <a:latin typeface="Times New Roman" panose="02020603050405020304" pitchFamily="18" charset="0"/>
                <a:cs typeface="Times New Roman" panose="02020603050405020304" pitchFamily="18" charset="0"/>
              </a:rPr>
              <a:t>Frequency of backward convergence</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2.95818206265967E-2"/>
          <c:y val="0.17171296296296301"/>
          <c:w val="0.94083635874680605"/>
          <c:h val="0.52378864100320799"/>
        </c:manualLayout>
      </c:layout>
      <c:lineChart>
        <c:grouping val="standard"/>
        <c:varyColors val="0"/>
        <c:ser>
          <c:idx val="0"/>
          <c:order val="0"/>
          <c:tx>
            <c:strRef>
              <c:f>'TN_2 (Eng)'!$B$35</c:f>
              <c:strCache>
                <c:ptCount val="1"/>
                <c:pt idx="0">
                  <c:v>EC</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'TN_2 (Eng)'!$C$33:$J$34</c:f>
              <c:multiLvlStrCache>
                <c:ptCount val="8"/>
                <c:lvl>
                  <c:pt idx="0">
                    <c:v>(8,5-10)</c:v>
                  </c:pt>
                  <c:pt idx="1">
                    <c:v>(8,0-8,4)</c:v>
                  </c:pt>
                  <c:pt idx="2">
                    <c:v>(7,0-7,9)</c:v>
                  </c:pt>
                  <c:pt idx="3">
                    <c:v>(6,5-6,9)</c:v>
                  </c:pt>
                  <c:pt idx="4">
                    <c:v>(5,5-6,4)</c:v>
                  </c:pt>
                  <c:pt idx="5">
                    <c:v>(5,0-5,4)</c:v>
                  </c:pt>
                  <c:pt idx="6">
                    <c:v>(4,0-4,9)</c:v>
                  </c:pt>
                  <c:pt idx="7">
                    <c:v>(&lt; 4,0)</c:v>
                  </c:pt>
                </c:lvl>
                <c:lvl>
                  <c:pt idx="0">
                    <c:v>A</c:v>
                  </c:pt>
                  <c:pt idx="1">
                    <c:v>B+</c:v>
                  </c:pt>
                  <c:pt idx="2">
                    <c:v>B</c:v>
                  </c:pt>
                  <c:pt idx="3">
                    <c:v>C+</c:v>
                  </c:pt>
                  <c:pt idx="4">
                    <c:v>C</c:v>
                  </c:pt>
                  <c:pt idx="5">
                    <c:v>D+</c:v>
                  </c:pt>
                  <c:pt idx="6">
                    <c:v>D</c:v>
                  </c:pt>
                  <c:pt idx="7">
                    <c:v>F</c:v>
                  </c:pt>
                </c:lvl>
              </c:multiLvlStrCache>
            </c:multiLvlStrRef>
          </c:cat>
          <c:val>
            <c:numRef>
              <c:f>'TN_2 (Eng)'!$C$35:$J$35</c:f>
              <c:numCache>
                <c:formatCode>#,000</c:formatCode>
                <c:ptCount val="8"/>
                <c:pt idx="0">
                  <c:v>50</c:v>
                </c:pt>
                <c:pt idx="1">
                  <c:v>88.89</c:v>
                </c:pt>
                <c:pt idx="2">
                  <c:v>91.669999999999973</c:v>
                </c:pt>
                <c:pt idx="3">
                  <c:v>94.44</c:v>
                </c:pt>
                <c:pt idx="4">
                  <c:v>100</c:v>
                </c:pt>
                <c:pt idx="5">
                  <c:v>100</c:v>
                </c:pt>
                <c:pt idx="6">
                  <c:v>100</c:v>
                </c:pt>
                <c:pt idx="7">
                  <c:v>100</c:v>
                </c:pt>
              </c:numCache>
            </c:numRef>
          </c:val>
          <c:smooth val="0"/>
          <c:extLst>
            <c:ext xmlns:c16="http://schemas.microsoft.com/office/drawing/2014/chart" uri="{C3380CC4-5D6E-409C-BE32-E72D297353CC}">
              <c16:uniqueId val="{00000000-A25E-4643-A279-F60E61FCAA2C}"/>
            </c:ext>
          </c:extLst>
        </c:ser>
        <c:ser>
          <c:idx val="1"/>
          <c:order val="1"/>
          <c:tx>
            <c:strRef>
              <c:f>'TN_2 (Eng)'!$B$36</c:f>
              <c:strCache>
                <c:ptCount val="1"/>
                <c:pt idx="0">
                  <c:v>CC</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'TN_2 (Eng)'!$C$33:$J$34</c:f>
              <c:multiLvlStrCache>
                <c:ptCount val="8"/>
                <c:lvl>
                  <c:pt idx="0">
                    <c:v>(8,5-10)</c:v>
                  </c:pt>
                  <c:pt idx="1">
                    <c:v>(8,0-8,4)</c:v>
                  </c:pt>
                  <c:pt idx="2">
                    <c:v>(7,0-7,9)</c:v>
                  </c:pt>
                  <c:pt idx="3">
                    <c:v>(6,5-6,9)</c:v>
                  </c:pt>
                  <c:pt idx="4">
                    <c:v>(5,5-6,4)</c:v>
                  </c:pt>
                  <c:pt idx="5">
                    <c:v>(5,0-5,4)</c:v>
                  </c:pt>
                  <c:pt idx="6">
                    <c:v>(4,0-4,9)</c:v>
                  </c:pt>
                  <c:pt idx="7">
                    <c:v>(&lt; 4,0)</c:v>
                  </c:pt>
                </c:lvl>
                <c:lvl>
                  <c:pt idx="0">
                    <c:v>A</c:v>
                  </c:pt>
                  <c:pt idx="1">
                    <c:v>B+</c:v>
                  </c:pt>
                  <c:pt idx="2">
                    <c:v>B</c:v>
                  </c:pt>
                  <c:pt idx="3">
                    <c:v>C+</c:v>
                  </c:pt>
                  <c:pt idx="4">
                    <c:v>C</c:v>
                  </c:pt>
                  <c:pt idx="5">
                    <c:v>D+</c:v>
                  </c:pt>
                  <c:pt idx="6">
                    <c:v>D</c:v>
                  </c:pt>
                  <c:pt idx="7">
                    <c:v>F</c:v>
                  </c:pt>
                </c:lvl>
              </c:multiLvlStrCache>
            </c:multiLvlStrRef>
          </c:cat>
          <c:val>
            <c:numRef>
              <c:f>'TN_2 (Eng)'!$C$36:$J$36</c:f>
              <c:numCache>
                <c:formatCode>#,000</c:formatCode>
                <c:ptCount val="8"/>
                <c:pt idx="0">
                  <c:v>28.57</c:v>
                </c:pt>
                <c:pt idx="1">
                  <c:v>45.71</c:v>
                </c:pt>
                <c:pt idx="2">
                  <c:v>62.85</c:v>
                </c:pt>
                <c:pt idx="3">
                  <c:v>88.57</c:v>
                </c:pt>
                <c:pt idx="4">
                  <c:v>97.12</c:v>
                </c:pt>
                <c:pt idx="5">
                  <c:v>100</c:v>
                </c:pt>
                <c:pt idx="6">
                  <c:v>100</c:v>
                </c:pt>
                <c:pt idx="7">
                  <c:v>100</c:v>
                </c:pt>
              </c:numCache>
            </c:numRef>
          </c:val>
          <c:smooth val="0"/>
          <c:extLst>
            <c:ext xmlns:c16="http://schemas.microsoft.com/office/drawing/2014/chart" uri="{C3380CC4-5D6E-409C-BE32-E72D297353CC}">
              <c16:uniqueId val="{00000001-A25E-4643-A279-F60E61FCAA2C}"/>
            </c:ext>
          </c:extLst>
        </c:ser>
        <c:dLbls>
          <c:dLblPos val="ctr"/>
          <c:showLegendKey val="0"/>
          <c:showVal val="1"/>
          <c:showCatName val="0"/>
          <c:showSerName val="0"/>
          <c:showPercent val="0"/>
          <c:showBubbleSize val="0"/>
        </c:dLbls>
        <c:marker val="1"/>
        <c:smooth val="0"/>
        <c:axId val="1113133584"/>
        <c:axId val="1113137712"/>
      </c:lineChart>
      <c:catAx>
        <c:axId val="1113133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13137712"/>
        <c:crosses val="autoZero"/>
        <c:auto val="1"/>
        <c:lblAlgn val="ctr"/>
        <c:lblOffset val="100"/>
        <c:noMultiLvlLbl val="0"/>
      </c:catAx>
      <c:valAx>
        <c:axId val="11131377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113133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7904-0801-44C0-8D3B-C9C631B5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6647</Words>
  <Characters>37892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Numerical Analysis of Auto-ignition of Ethanol</vt:lpstr>
    </vt:vector>
  </TitlesOfParts>
  <Company>Universiti Tun Hussein Onn Malaysia</Company>
  <LinksUpToDate>false</LinksUpToDate>
  <CharactersWithSpaces>44451</CharactersWithSpaces>
  <SharedDoc>false</SharedDoc>
  <HLinks>
    <vt:vector size="6" baseType="variant">
      <vt:variant>
        <vt:i4>7078009</vt:i4>
      </vt:variant>
      <vt:variant>
        <vt:i4>6</vt:i4>
      </vt:variant>
      <vt:variant>
        <vt:i4>0</vt:i4>
      </vt:variant>
      <vt:variant>
        <vt:i4>5</vt:i4>
      </vt:variant>
      <vt:variant>
        <vt:lpwstr>http://penerbit.uthm.edu.my/ojs/index.php/jtet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Analysis of Auto-ignition of Ethanol</dc:title>
  <dc:creator>Uthm</dc:creator>
  <cp:lastModifiedBy>User</cp:lastModifiedBy>
  <cp:revision>90</cp:revision>
  <cp:lastPrinted>2011-09-14T08:10:00Z</cp:lastPrinted>
  <dcterms:created xsi:type="dcterms:W3CDTF">2019-12-31T02:37:00Z</dcterms:created>
  <dcterms:modified xsi:type="dcterms:W3CDTF">2020-01-22T03:12:00Z</dcterms:modified>
</cp:coreProperties>
</file>