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EA4" w:rsidRPr="00865F7C" w:rsidRDefault="00201EA0" w:rsidP="00865F7C">
      <w:pPr>
        <w:pStyle w:val="HTMLPreformatted"/>
        <w:shd w:val="clear" w:color="auto" w:fill="FFFFFF"/>
        <w:spacing w:before="120" w:after="120" w:line="360" w:lineRule="auto"/>
        <w:jc w:val="center"/>
        <w:rPr>
          <w:rFonts w:ascii="Times New Roman" w:eastAsiaTheme="minorHAnsi" w:hAnsi="Times New Roman" w:cs="Times New Roman"/>
          <w:b/>
          <w:sz w:val="26"/>
          <w:szCs w:val="26"/>
        </w:rPr>
      </w:pPr>
      <w:bookmarkStart w:id="0" w:name="_GoBack"/>
      <w:bookmarkEnd w:id="0"/>
      <w:r>
        <w:rPr>
          <w:rFonts w:ascii="Times New Roman" w:eastAsiaTheme="minorHAnsi" w:hAnsi="Times New Roman" w:cs="Times New Roman"/>
          <w:b/>
          <w:sz w:val="26"/>
          <w:szCs w:val="26"/>
        </w:rPr>
        <w:t xml:space="preserve">STUDY ON </w:t>
      </w:r>
      <w:r w:rsidR="00744FF9">
        <w:rPr>
          <w:rFonts w:ascii="Times New Roman" w:eastAsiaTheme="minorHAnsi" w:hAnsi="Times New Roman" w:cs="Times New Roman"/>
          <w:b/>
          <w:sz w:val="26"/>
          <w:szCs w:val="26"/>
        </w:rPr>
        <w:t>TRANSPARENCY</w:t>
      </w:r>
      <w:r w:rsidR="00744FF9">
        <w:rPr>
          <w:rFonts w:ascii="Times New Roman" w:eastAsiaTheme="minorHAnsi" w:hAnsi="Times New Roman" w:cs="Times New Roman"/>
          <w:b/>
          <w:sz w:val="26"/>
          <w:szCs w:val="26"/>
          <w:lang w:val="vi-VN"/>
        </w:rPr>
        <w:t xml:space="preserve"> OF </w:t>
      </w:r>
      <w:r w:rsidR="00865F7C" w:rsidRPr="00865F7C">
        <w:rPr>
          <w:rFonts w:ascii="Times New Roman" w:eastAsiaTheme="minorHAnsi" w:hAnsi="Times New Roman" w:cs="Times New Roman"/>
          <w:b/>
          <w:sz w:val="26"/>
          <w:szCs w:val="26"/>
        </w:rPr>
        <w:t xml:space="preserve">INFORMATION DISCLOSURE </w:t>
      </w:r>
      <w:r w:rsidR="00DE1080">
        <w:rPr>
          <w:rFonts w:ascii="Times New Roman" w:eastAsiaTheme="minorHAnsi" w:hAnsi="Times New Roman" w:cs="Times New Roman"/>
          <w:b/>
          <w:sz w:val="26"/>
          <w:szCs w:val="26"/>
        </w:rPr>
        <w:t>ON</w:t>
      </w:r>
      <w:r w:rsidR="00865F7C" w:rsidRPr="00865F7C">
        <w:rPr>
          <w:rFonts w:ascii="Times New Roman" w:eastAsiaTheme="minorHAnsi" w:hAnsi="Times New Roman" w:cs="Times New Roman"/>
          <w:b/>
          <w:sz w:val="26"/>
          <w:szCs w:val="26"/>
        </w:rPr>
        <w:t xml:space="preserve"> THE ANNUAL REPORT OF COMMERCIAL BANKS IN VIETNAM</w:t>
      </w:r>
    </w:p>
    <w:p w:rsidR="00385BB4" w:rsidRPr="00744FF9" w:rsidRDefault="00385BB4" w:rsidP="00865F7C">
      <w:pPr>
        <w:pStyle w:val="HTMLPreformatted"/>
        <w:shd w:val="clear" w:color="auto" w:fill="FFFFFF"/>
        <w:spacing w:before="120" w:after="120" w:line="360" w:lineRule="auto"/>
        <w:jc w:val="center"/>
        <w:rPr>
          <w:rFonts w:ascii="Times New Roman" w:eastAsiaTheme="minorHAnsi" w:hAnsi="Times New Roman" w:cs="Times New Roman"/>
          <w:i/>
          <w:sz w:val="26"/>
          <w:szCs w:val="26"/>
          <w:lang w:val="vi-VN"/>
        </w:rPr>
      </w:pPr>
      <w:r w:rsidRPr="00865F7C">
        <w:rPr>
          <w:rFonts w:ascii="Times New Roman" w:eastAsiaTheme="minorHAnsi" w:hAnsi="Times New Roman" w:cs="Times New Roman"/>
          <w:i/>
          <w:sz w:val="26"/>
          <w:szCs w:val="26"/>
        </w:rPr>
        <w:t xml:space="preserve">M.A Nguyen Ngoc Thuy, </w:t>
      </w:r>
      <w:r w:rsidR="00744FF9">
        <w:rPr>
          <w:rFonts w:ascii="Times New Roman" w:eastAsiaTheme="minorHAnsi" w:hAnsi="Times New Roman" w:cs="Times New Roman"/>
          <w:i/>
          <w:sz w:val="26"/>
          <w:szCs w:val="26"/>
        </w:rPr>
        <w:t>College</w:t>
      </w:r>
      <w:r w:rsidRPr="00865F7C">
        <w:rPr>
          <w:rFonts w:ascii="Times New Roman" w:eastAsiaTheme="minorHAnsi" w:hAnsi="Times New Roman" w:cs="Times New Roman"/>
          <w:i/>
          <w:sz w:val="26"/>
          <w:szCs w:val="26"/>
        </w:rPr>
        <w:t xml:space="preserve"> of Economic</w:t>
      </w:r>
      <w:r w:rsidR="00737694" w:rsidRPr="00865F7C">
        <w:rPr>
          <w:rFonts w:ascii="Times New Roman" w:eastAsiaTheme="minorHAnsi" w:hAnsi="Times New Roman" w:cs="Times New Roman"/>
          <w:i/>
          <w:sz w:val="26"/>
          <w:szCs w:val="26"/>
        </w:rPr>
        <w:t>s</w:t>
      </w:r>
      <w:r w:rsidRPr="00865F7C">
        <w:rPr>
          <w:rFonts w:ascii="Times New Roman" w:eastAsiaTheme="minorHAnsi" w:hAnsi="Times New Roman" w:cs="Times New Roman"/>
          <w:i/>
          <w:sz w:val="26"/>
          <w:szCs w:val="26"/>
        </w:rPr>
        <w:t>, Hue University, Vietnam</w:t>
      </w:r>
      <w:r w:rsidR="00744FF9">
        <w:rPr>
          <w:rFonts w:ascii="Times New Roman" w:eastAsiaTheme="minorHAnsi" w:hAnsi="Times New Roman" w:cs="Times New Roman"/>
          <w:i/>
          <w:sz w:val="26"/>
          <w:szCs w:val="26"/>
          <w:lang w:val="vi-VN"/>
        </w:rPr>
        <w:t>.</w:t>
      </w:r>
    </w:p>
    <w:p w:rsidR="00385BB4" w:rsidRPr="00865F7C" w:rsidRDefault="00385BB4" w:rsidP="00865F7C">
      <w:pPr>
        <w:pStyle w:val="HTMLPreformatted"/>
        <w:shd w:val="clear" w:color="auto" w:fill="FFFFFF"/>
        <w:spacing w:before="120" w:after="120" w:line="360" w:lineRule="auto"/>
        <w:jc w:val="both"/>
        <w:rPr>
          <w:rFonts w:ascii="Times New Roman" w:eastAsiaTheme="minorHAnsi" w:hAnsi="Times New Roman" w:cs="Times New Roman"/>
          <w:b/>
          <w:sz w:val="26"/>
          <w:szCs w:val="26"/>
        </w:rPr>
      </w:pPr>
      <w:r w:rsidRPr="00865F7C">
        <w:rPr>
          <w:rFonts w:ascii="Times New Roman" w:eastAsiaTheme="minorHAnsi" w:hAnsi="Times New Roman" w:cs="Times New Roman"/>
          <w:b/>
          <w:sz w:val="26"/>
          <w:szCs w:val="26"/>
        </w:rPr>
        <w:t>Abstract</w:t>
      </w:r>
    </w:p>
    <w:p w:rsidR="00385BB4" w:rsidRPr="003F2E0C" w:rsidRDefault="00385BB4" w:rsidP="00865F7C">
      <w:pPr>
        <w:pStyle w:val="HTMLPreformatted"/>
        <w:shd w:val="clear" w:color="auto" w:fill="FFFFFF"/>
        <w:spacing w:before="120" w:after="120" w:line="360" w:lineRule="auto"/>
        <w:jc w:val="both"/>
        <w:rPr>
          <w:rFonts w:ascii="Times New Roman" w:hAnsi="Times New Roman" w:cs="Times New Roman"/>
          <w:i/>
          <w:sz w:val="26"/>
          <w:szCs w:val="26"/>
        </w:rPr>
      </w:pPr>
      <w:r w:rsidRPr="003F2E0C">
        <w:rPr>
          <w:rFonts w:ascii="Times New Roman" w:eastAsiaTheme="minorHAnsi" w:hAnsi="Times New Roman" w:cs="Times New Roman"/>
          <w:i/>
          <w:sz w:val="26"/>
          <w:szCs w:val="26"/>
        </w:rPr>
        <w:tab/>
      </w:r>
      <w:r w:rsidR="00744FF9" w:rsidRPr="003F2E0C">
        <w:rPr>
          <w:rFonts w:ascii="Times New Roman" w:hAnsi="Times New Roman" w:cs="Times New Roman"/>
          <w:i/>
          <w:color w:val="212121"/>
          <w:sz w:val="26"/>
          <w:szCs w:val="26"/>
          <w:lang w:val="en"/>
        </w:rPr>
        <w:t>The more the economy grows, the more important the role of information disclosure, the transparency of information affect</w:t>
      </w:r>
      <w:r w:rsidR="00744FF9" w:rsidRPr="003F2E0C">
        <w:rPr>
          <w:rFonts w:ascii="Times New Roman" w:hAnsi="Times New Roman" w:cs="Times New Roman"/>
          <w:i/>
          <w:color w:val="212121"/>
          <w:sz w:val="26"/>
          <w:szCs w:val="26"/>
        </w:rPr>
        <w:t>s</w:t>
      </w:r>
      <w:r w:rsidR="00744FF9" w:rsidRPr="003F2E0C">
        <w:rPr>
          <w:rFonts w:ascii="Times New Roman" w:hAnsi="Times New Roman" w:cs="Times New Roman"/>
          <w:i/>
          <w:color w:val="212121"/>
          <w:sz w:val="26"/>
          <w:szCs w:val="26"/>
          <w:lang w:val="en"/>
        </w:rPr>
        <w:t xml:space="preserve"> many different</w:t>
      </w:r>
      <w:r w:rsidR="00744FF9" w:rsidRPr="003F2E0C">
        <w:rPr>
          <w:rFonts w:ascii="Times New Roman" w:hAnsi="Times New Roman" w:cs="Times New Roman"/>
          <w:i/>
          <w:color w:val="212121"/>
          <w:sz w:val="26"/>
          <w:szCs w:val="26"/>
          <w:lang w:val="vi-VN"/>
        </w:rPr>
        <w:t xml:space="preserve"> users</w:t>
      </w:r>
      <w:r w:rsidR="00744FF9" w:rsidRPr="003F2E0C">
        <w:rPr>
          <w:rFonts w:ascii="Times New Roman" w:hAnsi="Times New Roman" w:cs="Times New Roman"/>
          <w:i/>
          <w:color w:val="212121"/>
          <w:sz w:val="26"/>
          <w:szCs w:val="26"/>
          <w:lang w:val="en"/>
        </w:rPr>
        <w:t>, especially investors</w:t>
      </w:r>
      <w:r w:rsidR="00744FF9" w:rsidRPr="003F2E0C">
        <w:rPr>
          <w:rFonts w:ascii="Times New Roman" w:hAnsi="Times New Roman" w:cs="Times New Roman"/>
          <w:i/>
          <w:color w:val="212121"/>
          <w:sz w:val="26"/>
          <w:szCs w:val="26"/>
          <w:lang w:val="vi-VN"/>
        </w:rPr>
        <w:t xml:space="preserve"> </w:t>
      </w:r>
      <w:r w:rsidR="00744FF9" w:rsidRPr="003F2E0C">
        <w:rPr>
          <w:rFonts w:ascii="Times New Roman" w:hAnsi="Times New Roman" w:cs="Times New Roman"/>
          <w:i/>
          <w:color w:val="212121"/>
          <w:sz w:val="26"/>
          <w:szCs w:val="26"/>
        </w:rPr>
        <w:t xml:space="preserve">on using information for </w:t>
      </w:r>
      <w:r w:rsidR="00744FF9" w:rsidRPr="003F2E0C">
        <w:rPr>
          <w:rFonts w:ascii="Times New Roman" w:hAnsi="Times New Roman" w:cs="Times New Roman"/>
          <w:i/>
          <w:color w:val="212121"/>
          <w:sz w:val="26"/>
          <w:szCs w:val="26"/>
          <w:lang w:val="vi-VN"/>
        </w:rPr>
        <w:t>making decision</w:t>
      </w:r>
      <w:r w:rsidR="00744FF9" w:rsidRPr="003F2E0C">
        <w:rPr>
          <w:rFonts w:ascii="Times New Roman" w:hAnsi="Times New Roman" w:cs="Times New Roman"/>
          <w:i/>
          <w:color w:val="212121"/>
          <w:sz w:val="26"/>
          <w:szCs w:val="26"/>
          <w:lang w:val="en"/>
        </w:rPr>
        <w:t xml:space="preserve">. </w:t>
      </w:r>
      <w:r w:rsidR="00300D90" w:rsidRPr="003F2E0C">
        <w:rPr>
          <w:rFonts w:ascii="Times New Roman" w:hAnsi="Times New Roman" w:cs="Times New Roman"/>
          <w:i/>
          <w:sz w:val="26"/>
          <w:szCs w:val="26"/>
        </w:rPr>
        <w:t xml:space="preserve">According to the report by the World Bank in 2015, Vietnam has the lowest index of information disclosure in the comparison to other ASEAN countries. The report identifies the shortcomings of disclosures of companies listed on the stock market. The annual reports are often lacking in coverage and in detail. The information of the shareholder meeting announcements is not provided in annual report.  This study </w:t>
      </w:r>
      <w:r w:rsidR="009E015F" w:rsidRPr="003F2E0C">
        <w:rPr>
          <w:rFonts w:ascii="Times New Roman" w:hAnsi="Times New Roman" w:cs="Times New Roman"/>
          <w:i/>
          <w:sz w:val="26"/>
          <w:szCs w:val="26"/>
        </w:rPr>
        <w:t>provides</w:t>
      </w:r>
      <w:r w:rsidR="00300D90" w:rsidRPr="003F2E0C">
        <w:rPr>
          <w:rFonts w:ascii="Times New Roman" w:hAnsi="Times New Roman" w:cs="Times New Roman"/>
          <w:i/>
          <w:sz w:val="26"/>
          <w:szCs w:val="26"/>
        </w:rPr>
        <w:t xml:space="preserve"> the results of an empirical research on the level of voluntary information disclosure in the 2016 annual reports of 21 listed commercial banks in Vietnam. To measure the extent of disclosure, the study applied the un-weighted disclosure index consisting of 31 items. On average, the voluntary disclosure level of commercial banks in Vietnam was found to be at 65%. The study provides a ranking of these banks on the basic of their disclosure index. Additionally, the disclosure levels of different information categories are considered. Finally, the study discusses issues and recommendations to help commercial banks improve the level of information disclosure and enhance the transparency of annual reports.</w:t>
      </w:r>
    </w:p>
    <w:p w:rsidR="003F2E0C" w:rsidRPr="003F2E0C" w:rsidRDefault="003F2E0C" w:rsidP="00865F7C">
      <w:pPr>
        <w:pStyle w:val="HTMLPreformatted"/>
        <w:shd w:val="clear" w:color="auto" w:fill="FFFFFF"/>
        <w:spacing w:before="120" w:after="120" w:line="360" w:lineRule="auto"/>
        <w:jc w:val="both"/>
        <w:rPr>
          <w:rFonts w:ascii="Times New Roman" w:hAnsi="Times New Roman" w:cs="Times New Roman"/>
          <w:i/>
          <w:sz w:val="26"/>
          <w:szCs w:val="26"/>
          <w:lang w:val="vi-VN"/>
        </w:rPr>
      </w:pPr>
      <w:r w:rsidRPr="003F2E0C">
        <w:rPr>
          <w:rFonts w:ascii="Times New Roman" w:hAnsi="Times New Roman" w:cs="Times New Roman"/>
          <w:b/>
          <w:i/>
          <w:sz w:val="26"/>
          <w:szCs w:val="26"/>
          <w:lang w:val="vi-VN"/>
        </w:rPr>
        <w:t>Key words:</w:t>
      </w:r>
      <w:r w:rsidRPr="003F2E0C">
        <w:rPr>
          <w:rFonts w:ascii="Times New Roman" w:hAnsi="Times New Roman" w:cs="Times New Roman"/>
          <w:i/>
          <w:sz w:val="26"/>
          <w:szCs w:val="26"/>
          <w:lang w:val="vi-VN"/>
        </w:rPr>
        <w:t xml:space="preserve"> transparency, information disclosure, commercial banks</w:t>
      </w:r>
      <w:r>
        <w:rPr>
          <w:rFonts w:ascii="Times New Roman" w:hAnsi="Times New Roman" w:cs="Times New Roman"/>
          <w:i/>
          <w:sz w:val="26"/>
          <w:szCs w:val="26"/>
          <w:lang w:val="vi-VN"/>
        </w:rPr>
        <w:t>.</w:t>
      </w:r>
    </w:p>
    <w:p w:rsidR="00865F7C" w:rsidRPr="00865F7C" w:rsidRDefault="00865F7C" w:rsidP="00865F7C">
      <w:pPr>
        <w:pStyle w:val="HTMLPreformatted"/>
        <w:shd w:val="clear" w:color="auto" w:fill="FFFFFF"/>
        <w:spacing w:before="120" w:after="120" w:line="360" w:lineRule="auto"/>
        <w:jc w:val="both"/>
        <w:rPr>
          <w:rFonts w:ascii="Times New Roman" w:hAnsi="Times New Roman" w:cs="Times New Roman"/>
          <w:b/>
          <w:sz w:val="26"/>
          <w:szCs w:val="26"/>
        </w:rPr>
      </w:pPr>
      <w:r w:rsidRPr="00865F7C">
        <w:rPr>
          <w:rFonts w:ascii="Times New Roman" w:hAnsi="Times New Roman" w:cs="Times New Roman"/>
          <w:b/>
          <w:sz w:val="26"/>
          <w:szCs w:val="26"/>
        </w:rPr>
        <w:t>1. Introduction</w:t>
      </w:r>
    </w:p>
    <w:p w:rsidR="00C60343" w:rsidRDefault="00344789" w:rsidP="00865F7C">
      <w:pPr>
        <w:pStyle w:val="HTMLPreformatted"/>
        <w:shd w:val="clear" w:color="auto" w:fill="FFFFFF"/>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After</w:t>
      </w:r>
      <w:r w:rsidRPr="00344789">
        <w:rPr>
          <w:rFonts w:ascii="Times New Roman" w:hAnsi="Times New Roman" w:cs="Times New Roman"/>
          <w:sz w:val="26"/>
          <w:szCs w:val="26"/>
        </w:rPr>
        <w:t xml:space="preserve"> the global economic crisis of 2008, Vietnam has asked for a restructuring of the economy, with a focus on banking restructuring (World bank, 2010). </w:t>
      </w:r>
      <w:r>
        <w:rPr>
          <w:rFonts w:ascii="Times New Roman" w:hAnsi="Times New Roman" w:cs="Times New Roman"/>
          <w:sz w:val="26"/>
          <w:szCs w:val="26"/>
        </w:rPr>
        <w:t>Hence</w:t>
      </w:r>
      <w:r w:rsidRPr="00344789">
        <w:rPr>
          <w:rFonts w:ascii="Times New Roman" w:hAnsi="Times New Roman" w:cs="Times New Roman"/>
          <w:sz w:val="26"/>
          <w:szCs w:val="26"/>
        </w:rPr>
        <w:t xml:space="preserve">, the bank needs to improve information transparency in order to strengthen the banking system, help investors and depositors trust the bank's operations, </w:t>
      </w:r>
      <w:r>
        <w:rPr>
          <w:rFonts w:ascii="Times New Roman" w:hAnsi="Times New Roman" w:cs="Times New Roman"/>
          <w:sz w:val="26"/>
          <w:szCs w:val="26"/>
        </w:rPr>
        <w:t xml:space="preserve">solve the agency problem </w:t>
      </w:r>
      <w:r w:rsidRPr="00344789">
        <w:rPr>
          <w:rFonts w:ascii="Times New Roman" w:hAnsi="Times New Roman" w:cs="Times New Roman"/>
          <w:sz w:val="26"/>
          <w:szCs w:val="26"/>
        </w:rPr>
        <w:t>and through that reduces the cost of information for investors</w:t>
      </w:r>
      <w:r w:rsidR="00AE1475">
        <w:rPr>
          <w:rFonts w:ascii="Times New Roman" w:hAnsi="Times New Roman" w:cs="Times New Roman"/>
          <w:sz w:val="26"/>
          <w:szCs w:val="26"/>
        </w:rPr>
        <w:t xml:space="preserve">. </w:t>
      </w:r>
      <w:r w:rsidR="00AE1475" w:rsidRPr="00AE1475">
        <w:rPr>
          <w:rFonts w:ascii="Times New Roman" w:hAnsi="Times New Roman" w:cs="Times New Roman"/>
          <w:sz w:val="26"/>
          <w:szCs w:val="26"/>
        </w:rPr>
        <w:t xml:space="preserve">In an international conference on </w:t>
      </w:r>
      <w:r w:rsidR="00AE1475">
        <w:rPr>
          <w:rFonts w:ascii="Times New Roman" w:hAnsi="Times New Roman" w:cs="Times New Roman"/>
          <w:sz w:val="26"/>
          <w:szCs w:val="26"/>
        </w:rPr>
        <w:t>"Banking Sector Restructuring -</w:t>
      </w:r>
      <w:r w:rsidR="00AE1475" w:rsidRPr="00AE1475">
        <w:rPr>
          <w:rFonts w:ascii="Times New Roman" w:hAnsi="Times New Roman" w:cs="Times New Roman"/>
          <w:sz w:val="26"/>
          <w:szCs w:val="26"/>
        </w:rPr>
        <w:t xml:space="preserve"> Experience and Implications for Vietnam" held in </w:t>
      </w:r>
      <w:r w:rsidR="00AE1475" w:rsidRPr="00AE1475">
        <w:rPr>
          <w:rFonts w:ascii="Times New Roman" w:hAnsi="Times New Roman" w:cs="Times New Roman"/>
          <w:sz w:val="26"/>
          <w:szCs w:val="26"/>
        </w:rPr>
        <w:lastRenderedPageBreak/>
        <w:t>2011, experts highlighted the asymmetry of information as a cause leading to skepticism, lack of transparency and this will negatively aff</w:t>
      </w:r>
      <w:r w:rsidR="00AE1475">
        <w:rPr>
          <w:rFonts w:ascii="Times New Roman" w:hAnsi="Times New Roman" w:cs="Times New Roman"/>
          <w:sz w:val="26"/>
          <w:szCs w:val="26"/>
        </w:rPr>
        <w:t>ect long-term performance of companies</w:t>
      </w:r>
      <w:r w:rsidR="00AE1475" w:rsidRPr="00AE1475">
        <w:rPr>
          <w:rFonts w:ascii="Times New Roman" w:hAnsi="Times New Roman" w:cs="Times New Roman"/>
          <w:sz w:val="26"/>
          <w:szCs w:val="26"/>
        </w:rPr>
        <w:t xml:space="preserve">. This </w:t>
      </w:r>
      <w:r w:rsidR="00AE1475">
        <w:rPr>
          <w:rFonts w:ascii="Times New Roman" w:hAnsi="Times New Roman" w:cs="Times New Roman"/>
          <w:sz w:val="26"/>
          <w:szCs w:val="26"/>
        </w:rPr>
        <w:t>leads to</w:t>
      </w:r>
      <w:r w:rsidR="00AE1475" w:rsidRPr="00AE1475">
        <w:rPr>
          <w:rFonts w:ascii="Times New Roman" w:hAnsi="Times New Roman" w:cs="Times New Roman"/>
          <w:sz w:val="26"/>
          <w:szCs w:val="26"/>
        </w:rPr>
        <w:t xml:space="preserve"> the conflict of interest related to the disclosure of information between the </w:t>
      </w:r>
      <w:r w:rsidR="00AE1475">
        <w:rPr>
          <w:rFonts w:ascii="Times New Roman" w:hAnsi="Times New Roman" w:cs="Times New Roman"/>
          <w:sz w:val="26"/>
          <w:szCs w:val="26"/>
        </w:rPr>
        <w:t>managers and</w:t>
      </w:r>
      <w:r w:rsidR="00AE1475" w:rsidRPr="00AE1475">
        <w:rPr>
          <w:rFonts w:ascii="Times New Roman" w:hAnsi="Times New Roman" w:cs="Times New Roman"/>
          <w:sz w:val="26"/>
          <w:szCs w:val="26"/>
        </w:rPr>
        <w:t xml:space="preserve"> shareholders. </w:t>
      </w:r>
      <w:r w:rsidR="00AE1475">
        <w:rPr>
          <w:rFonts w:ascii="Times New Roman" w:hAnsi="Times New Roman" w:cs="Times New Roman"/>
          <w:sz w:val="26"/>
          <w:szCs w:val="26"/>
        </w:rPr>
        <w:t>C</w:t>
      </w:r>
      <w:r w:rsidR="00AE1475" w:rsidRPr="00AE1475">
        <w:rPr>
          <w:rFonts w:ascii="Times New Roman" w:hAnsi="Times New Roman" w:cs="Times New Roman"/>
          <w:sz w:val="26"/>
          <w:szCs w:val="26"/>
        </w:rPr>
        <w:t xml:space="preserve">ommercial banks </w:t>
      </w:r>
      <w:r w:rsidR="00AE1475">
        <w:rPr>
          <w:rFonts w:ascii="Times New Roman" w:hAnsi="Times New Roman" w:cs="Times New Roman"/>
          <w:sz w:val="26"/>
          <w:szCs w:val="26"/>
        </w:rPr>
        <w:t xml:space="preserve">in Vietnam </w:t>
      </w:r>
      <w:r w:rsidR="00AE1475" w:rsidRPr="00AE1475">
        <w:rPr>
          <w:rFonts w:ascii="Times New Roman" w:hAnsi="Times New Roman" w:cs="Times New Roman"/>
          <w:sz w:val="26"/>
          <w:szCs w:val="26"/>
        </w:rPr>
        <w:t xml:space="preserve">need to be transparent and improve the quality of information disclosed in order to improve the effectiveness of governance, brand development and commercial banks' image in the market to create </w:t>
      </w:r>
      <w:r w:rsidR="00AE1475">
        <w:rPr>
          <w:rFonts w:ascii="Times New Roman" w:hAnsi="Times New Roman" w:cs="Times New Roman"/>
          <w:sz w:val="26"/>
          <w:szCs w:val="26"/>
        </w:rPr>
        <w:t>confidence for their investors</w:t>
      </w:r>
      <w:r w:rsidR="00BB667A" w:rsidRPr="00865F7C">
        <w:rPr>
          <w:rFonts w:ascii="Times New Roman" w:hAnsi="Times New Roman" w:cs="Times New Roman"/>
          <w:sz w:val="26"/>
          <w:szCs w:val="26"/>
        </w:rPr>
        <w:t xml:space="preserve">. Although the Law on Securities of Vietnam was </w:t>
      </w:r>
      <w:r w:rsidR="00AE1475">
        <w:rPr>
          <w:rFonts w:ascii="Times New Roman" w:hAnsi="Times New Roman" w:cs="Times New Roman"/>
          <w:sz w:val="26"/>
          <w:szCs w:val="26"/>
        </w:rPr>
        <w:t>issued</w:t>
      </w:r>
      <w:r w:rsidR="00BB667A" w:rsidRPr="00865F7C">
        <w:rPr>
          <w:rFonts w:ascii="Times New Roman" w:hAnsi="Times New Roman" w:cs="Times New Roman"/>
          <w:sz w:val="26"/>
          <w:szCs w:val="26"/>
        </w:rPr>
        <w:t xml:space="preserve"> in 2006 to ensure the effectiveness and transparency of information disclosure to </w:t>
      </w:r>
      <w:r w:rsidR="00AE1475">
        <w:rPr>
          <w:rFonts w:ascii="Times New Roman" w:hAnsi="Times New Roman" w:cs="Times New Roman"/>
          <w:sz w:val="26"/>
          <w:szCs w:val="26"/>
        </w:rPr>
        <w:t>guarantee</w:t>
      </w:r>
      <w:r w:rsidR="00C60343">
        <w:rPr>
          <w:rFonts w:ascii="Times New Roman" w:hAnsi="Times New Roman" w:cs="Times New Roman"/>
          <w:sz w:val="26"/>
          <w:szCs w:val="26"/>
        </w:rPr>
        <w:t xml:space="preserve"> fairness for investors.</w:t>
      </w:r>
      <w:r w:rsidR="00BB667A" w:rsidRPr="00865F7C">
        <w:rPr>
          <w:rFonts w:ascii="Times New Roman" w:hAnsi="Times New Roman" w:cs="Times New Roman"/>
          <w:sz w:val="26"/>
          <w:szCs w:val="26"/>
        </w:rPr>
        <w:t xml:space="preserve"> </w:t>
      </w:r>
      <w:r w:rsidR="00C60343" w:rsidRPr="00C60343">
        <w:rPr>
          <w:rFonts w:ascii="Times New Roman" w:hAnsi="Times New Roman" w:cs="Times New Roman"/>
          <w:sz w:val="26"/>
          <w:szCs w:val="26"/>
        </w:rPr>
        <w:t>However, the</w:t>
      </w:r>
      <w:r w:rsidR="00C60343">
        <w:rPr>
          <w:rFonts w:ascii="Times New Roman" w:hAnsi="Times New Roman" w:cs="Times New Roman"/>
          <w:sz w:val="26"/>
          <w:szCs w:val="26"/>
        </w:rPr>
        <w:t xml:space="preserve"> guidelines lack specificity, therefore </w:t>
      </w:r>
      <w:r w:rsidR="00C60343" w:rsidRPr="00C60343">
        <w:rPr>
          <w:rFonts w:ascii="Times New Roman" w:hAnsi="Times New Roman" w:cs="Times New Roman"/>
          <w:sz w:val="26"/>
          <w:szCs w:val="26"/>
        </w:rPr>
        <w:t>imple</w:t>
      </w:r>
      <w:r w:rsidR="00C60343">
        <w:rPr>
          <w:rFonts w:ascii="Times New Roman" w:hAnsi="Times New Roman" w:cs="Times New Roman"/>
          <w:sz w:val="26"/>
          <w:szCs w:val="26"/>
        </w:rPr>
        <w:t>mentation and compliance are</w:t>
      </w:r>
      <w:r w:rsidR="00C60343" w:rsidRPr="00C60343">
        <w:rPr>
          <w:rFonts w:ascii="Times New Roman" w:hAnsi="Times New Roman" w:cs="Times New Roman"/>
          <w:sz w:val="26"/>
          <w:szCs w:val="26"/>
        </w:rPr>
        <w:t xml:space="preserve"> </w:t>
      </w:r>
      <w:r w:rsidR="00C60343">
        <w:rPr>
          <w:rFonts w:ascii="Times New Roman" w:hAnsi="Times New Roman" w:cs="Times New Roman"/>
          <w:sz w:val="26"/>
          <w:szCs w:val="26"/>
        </w:rPr>
        <w:t xml:space="preserve">ineffectual. </w:t>
      </w:r>
      <w:r w:rsidR="00BB667A" w:rsidRPr="00865F7C">
        <w:rPr>
          <w:rFonts w:ascii="Times New Roman" w:hAnsi="Times New Roman" w:cs="Times New Roman"/>
          <w:sz w:val="26"/>
          <w:szCs w:val="26"/>
        </w:rPr>
        <w:t xml:space="preserve"> In 2007, the Ministry of Finance issued Circular 38/2007 / TTBTC to guide and introduce rules on disclosure of information on the stock market in order to materialize and improve the information transparency of the joint stock </w:t>
      </w:r>
      <w:r w:rsidR="009E015F" w:rsidRPr="00865F7C">
        <w:rPr>
          <w:rFonts w:ascii="Times New Roman" w:hAnsi="Times New Roman" w:cs="Times New Roman"/>
          <w:sz w:val="26"/>
          <w:szCs w:val="26"/>
        </w:rPr>
        <w:t>companies.</w:t>
      </w:r>
      <w:r w:rsidR="00BB667A" w:rsidRPr="00865F7C">
        <w:rPr>
          <w:rFonts w:ascii="Times New Roman" w:hAnsi="Times New Roman" w:cs="Times New Roman"/>
          <w:sz w:val="26"/>
          <w:szCs w:val="26"/>
        </w:rPr>
        <w:t xml:space="preserve"> The Ministry of Finance continues to issue new circulars instead of information disclosure, namely Circular 52/2012 and Circular 155/2015, in order to step by step improve and upgrade the </w:t>
      </w:r>
      <w:r w:rsidR="00C60343">
        <w:rPr>
          <w:rFonts w:ascii="Times New Roman" w:hAnsi="Times New Roman" w:cs="Times New Roman"/>
          <w:sz w:val="26"/>
          <w:szCs w:val="26"/>
        </w:rPr>
        <w:t>disclosure level of enterprises</w:t>
      </w:r>
      <w:r w:rsidR="00BB667A" w:rsidRPr="00865F7C">
        <w:rPr>
          <w:rFonts w:ascii="Times New Roman" w:hAnsi="Times New Roman" w:cs="Times New Roman"/>
          <w:sz w:val="26"/>
          <w:szCs w:val="26"/>
        </w:rPr>
        <w:t xml:space="preserve"> </w:t>
      </w:r>
      <w:r w:rsidR="00C60343">
        <w:rPr>
          <w:rFonts w:ascii="Times New Roman" w:hAnsi="Times New Roman" w:cs="Times New Roman"/>
          <w:sz w:val="26"/>
          <w:szCs w:val="26"/>
        </w:rPr>
        <w:t>l</w:t>
      </w:r>
      <w:r w:rsidR="00BB667A" w:rsidRPr="00865F7C">
        <w:rPr>
          <w:rFonts w:ascii="Times New Roman" w:hAnsi="Times New Roman" w:cs="Times New Roman"/>
          <w:sz w:val="26"/>
          <w:szCs w:val="26"/>
        </w:rPr>
        <w:t>isted on the stock market. Although reforms in information disclosure have been made, the information published on the reports is more "formal than nature", so the implementation of existing regula</w:t>
      </w:r>
      <w:r w:rsidR="00C60343">
        <w:rPr>
          <w:rFonts w:ascii="Times New Roman" w:hAnsi="Times New Roman" w:cs="Times New Roman"/>
          <w:sz w:val="26"/>
          <w:szCs w:val="26"/>
        </w:rPr>
        <w:t>tions remains a major challenge to</w:t>
      </w:r>
      <w:r w:rsidR="00BB667A" w:rsidRPr="00865F7C">
        <w:rPr>
          <w:rFonts w:ascii="Times New Roman" w:hAnsi="Times New Roman" w:cs="Times New Roman"/>
          <w:sz w:val="26"/>
          <w:szCs w:val="26"/>
        </w:rPr>
        <w:t xml:space="preserve"> </w:t>
      </w:r>
      <w:r w:rsidR="00C60343">
        <w:rPr>
          <w:rFonts w:ascii="Times New Roman" w:hAnsi="Times New Roman" w:cs="Times New Roman"/>
          <w:sz w:val="26"/>
          <w:szCs w:val="26"/>
        </w:rPr>
        <w:t>l</w:t>
      </w:r>
      <w:r w:rsidR="00BB667A" w:rsidRPr="00865F7C">
        <w:rPr>
          <w:rFonts w:ascii="Times New Roman" w:hAnsi="Times New Roman" w:cs="Times New Roman"/>
          <w:sz w:val="26"/>
          <w:szCs w:val="26"/>
        </w:rPr>
        <w:t>isted firms.</w:t>
      </w:r>
      <w:r w:rsidR="00C60343">
        <w:rPr>
          <w:rFonts w:ascii="Times New Roman" w:hAnsi="Times New Roman" w:cs="Times New Roman"/>
          <w:sz w:val="26"/>
          <w:szCs w:val="26"/>
        </w:rPr>
        <w:t xml:space="preserve"> The fact </w:t>
      </w:r>
      <w:r w:rsidR="006309CD">
        <w:rPr>
          <w:rFonts w:ascii="Times New Roman" w:hAnsi="Times New Roman" w:cs="Times New Roman"/>
          <w:sz w:val="26"/>
          <w:szCs w:val="26"/>
        </w:rPr>
        <w:t xml:space="preserve">is </w:t>
      </w:r>
      <w:r w:rsidR="00C60343">
        <w:rPr>
          <w:rFonts w:ascii="Times New Roman" w:hAnsi="Times New Roman" w:cs="Times New Roman"/>
          <w:sz w:val="26"/>
          <w:szCs w:val="26"/>
        </w:rPr>
        <w:t>that</w:t>
      </w:r>
      <w:r w:rsidR="00BB667A" w:rsidRPr="00865F7C">
        <w:rPr>
          <w:rFonts w:ascii="Times New Roman" w:hAnsi="Times New Roman" w:cs="Times New Roman"/>
          <w:sz w:val="26"/>
          <w:szCs w:val="26"/>
        </w:rPr>
        <w:t xml:space="preserve"> </w:t>
      </w:r>
      <w:r w:rsidR="00C60343">
        <w:rPr>
          <w:rFonts w:ascii="Times New Roman" w:hAnsi="Times New Roman" w:cs="Times New Roman"/>
          <w:sz w:val="26"/>
          <w:szCs w:val="26"/>
        </w:rPr>
        <w:t>Vietnamese</w:t>
      </w:r>
      <w:r w:rsidR="00BB667A" w:rsidRPr="00865F7C">
        <w:rPr>
          <w:rFonts w:ascii="Times New Roman" w:hAnsi="Times New Roman" w:cs="Times New Roman"/>
          <w:sz w:val="26"/>
          <w:szCs w:val="26"/>
        </w:rPr>
        <w:t xml:space="preserve"> commercial banks do not seem to pay much attention to the disclosure of information about their activities outside, causing so</w:t>
      </w:r>
      <w:r w:rsidR="00C60343">
        <w:rPr>
          <w:rFonts w:ascii="Times New Roman" w:hAnsi="Times New Roman" w:cs="Times New Roman"/>
          <w:sz w:val="26"/>
          <w:szCs w:val="26"/>
        </w:rPr>
        <w:t>cial insecurity (Kelly, 2012).</w:t>
      </w:r>
      <w:r w:rsidR="00BB667A" w:rsidRPr="00865F7C">
        <w:rPr>
          <w:rFonts w:ascii="Times New Roman" w:hAnsi="Times New Roman" w:cs="Times New Roman"/>
          <w:sz w:val="26"/>
          <w:szCs w:val="26"/>
        </w:rPr>
        <w:t xml:space="preserve"> Therefore, research on the disclosure of information in the annual report has become an urgent issue in recent years. </w:t>
      </w:r>
      <w:r w:rsidR="00B507FD" w:rsidRPr="00B507FD">
        <w:rPr>
          <w:rFonts w:ascii="Times New Roman" w:hAnsi="Times New Roman" w:cs="Times New Roman"/>
          <w:sz w:val="26"/>
          <w:szCs w:val="26"/>
        </w:rPr>
        <w:t xml:space="preserve">The </w:t>
      </w:r>
      <w:r w:rsidR="00522208">
        <w:rPr>
          <w:rFonts w:ascii="Times New Roman" w:hAnsi="Times New Roman" w:cs="Times New Roman"/>
          <w:sz w:val="26"/>
          <w:szCs w:val="26"/>
        </w:rPr>
        <w:t>disclosure</w:t>
      </w:r>
      <w:r w:rsidR="00B507FD" w:rsidRPr="00B507FD">
        <w:rPr>
          <w:rFonts w:ascii="Times New Roman" w:hAnsi="Times New Roman" w:cs="Times New Roman"/>
          <w:sz w:val="26"/>
          <w:szCs w:val="26"/>
        </w:rPr>
        <w:t xml:space="preserve"> information is divided into two categories, including mandatory information and voluntary information. Voluntary disclosure studies provide more useful information for investors because voluntary information </w:t>
      </w:r>
      <w:r w:rsidR="006E45DC">
        <w:rPr>
          <w:rFonts w:ascii="Times New Roman" w:hAnsi="Times New Roman" w:cs="Times New Roman"/>
          <w:sz w:val="26"/>
          <w:szCs w:val="26"/>
        </w:rPr>
        <w:t>focuse</w:t>
      </w:r>
      <w:r w:rsidR="00B507FD" w:rsidRPr="00B507FD">
        <w:rPr>
          <w:rFonts w:ascii="Times New Roman" w:hAnsi="Times New Roman" w:cs="Times New Roman"/>
          <w:sz w:val="26"/>
          <w:szCs w:val="26"/>
        </w:rPr>
        <w:t xml:space="preserve">s </w:t>
      </w:r>
      <w:r w:rsidR="006E45DC">
        <w:rPr>
          <w:rFonts w:ascii="Times New Roman" w:hAnsi="Times New Roman" w:cs="Times New Roman"/>
          <w:sz w:val="26"/>
          <w:szCs w:val="26"/>
        </w:rPr>
        <w:t>on</w:t>
      </w:r>
      <w:r w:rsidR="00B507FD" w:rsidRPr="00B507FD">
        <w:rPr>
          <w:rFonts w:ascii="Times New Roman" w:hAnsi="Times New Roman" w:cs="Times New Roman"/>
          <w:sz w:val="26"/>
          <w:szCs w:val="26"/>
        </w:rPr>
        <w:t xml:space="preserve"> details about financial and non-financial information. This study </w:t>
      </w:r>
      <w:r w:rsidR="006E45DC">
        <w:rPr>
          <w:rFonts w:ascii="Times New Roman" w:hAnsi="Times New Roman" w:cs="Times New Roman"/>
          <w:sz w:val="26"/>
          <w:szCs w:val="26"/>
        </w:rPr>
        <w:t>aim</w:t>
      </w:r>
      <w:r w:rsidR="00522208">
        <w:rPr>
          <w:rFonts w:ascii="Times New Roman" w:hAnsi="Times New Roman" w:cs="Times New Roman"/>
          <w:sz w:val="26"/>
          <w:szCs w:val="26"/>
          <w:lang w:val="vi-VN"/>
        </w:rPr>
        <w:t>s</w:t>
      </w:r>
      <w:r w:rsidR="006E45DC">
        <w:rPr>
          <w:rFonts w:ascii="Times New Roman" w:hAnsi="Times New Roman" w:cs="Times New Roman"/>
          <w:sz w:val="26"/>
          <w:szCs w:val="26"/>
          <w:lang w:val="vi-VN"/>
        </w:rPr>
        <w:t xml:space="preserve"> to</w:t>
      </w:r>
      <w:r w:rsidR="00B507FD" w:rsidRPr="00B507FD">
        <w:rPr>
          <w:rFonts w:ascii="Times New Roman" w:hAnsi="Times New Roman" w:cs="Times New Roman"/>
          <w:sz w:val="26"/>
          <w:szCs w:val="26"/>
        </w:rPr>
        <w:t xml:space="preserve"> </w:t>
      </w:r>
      <w:r w:rsidR="00522208" w:rsidRPr="00B507FD">
        <w:rPr>
          <w:rFonts w:ascii="Times New Roman" w:hAnsi="Times New Roman" w:cs="Times New Roman"/>
          <w:sz w:val="26"/>
          <w:szCs w:val="26"/>
        </w:rPr>
        <w:t>measure</w:t>
      </w:r>
      <w:r w:rsidR="00B507FD" w:rsidRPr="00B507FD">
        <w:rPr>
          <w:rFonts w:ascii="Times New Roman" w:hAnsi="Times New Roman" w:cs="Times New Roman"/>
          <w:sz w:val="26"/>
          <w:szCs w:val="26"/>
        </w:rPr>
        <w:t xml:space="preserve"> and </w:t>
      </w:r>
      <w:r w:rsidR="00522208" w:rsidRPr="00B507FD">
        <w:rPr>
          <w:rFonts w:ascii="Times New Roman" w:hAnsi="Times New Roman" w:cs="Times New Roman"/>
          <w:sz w:val="26"/>
          <w:szCs w:val="26"/>
        </w:rPr>
        <w:t>evaluate</w:t>
      </w:r>
      <w:r w:rsidR="00B507FD" w:rsidRPr="00B507FD">
        <w:rPr>
          <w:rFonts w:ascii="Times New Roman" w:hAnsi="Times New Roman" w:cs="Times New Roman"/>
          <w:sz w:val="26"/>
          <w:szCs w:val="26"/>
        </w:rPr>
        <w:t xml:space="preserve"> voluntary disclosure on annual reports of Vietnamese commercial banks.</w:t>
      </w:r>
    </w:p>
    <w:p w:rsidR="00337EA4" w:rsidRPr="00865F7C" w:rsidRDefault="00865F7C" w:rsidP="00865F7C">
      <w:pPr>
        <w:pStyle w:val="HTMLPreformatted"/>
        <w:shd w:val="clear" w:color="auto" w:fill="FFFFFF"/>
        <w:spacing w:before="120" w:after="120" w:line="360" w:lineRule="auto"/>
        <w:jc w:val="both"/>
        <w:rPr>
          <w:rFonts w:ascii="Times New Roman" w:hAnsi="Times New Roman" w:cs="Times New Roman"/>
          <w:b/>
          <w:sz w:val="26"/>
          <w:szCs w:val="26"/>
        </w:rPr>
      </w:pPr>
      <w:r w:rsidRPr="00865F7C">
        <w:rPr>
          <w:rFonts w:ascii="Times New Roman" w:hAnsi="Times New Roman" w:cs="Times New Roman"/>
          <w:b/>
          <w:sz w:val="26"/>
          <w:szCs w:val="26"/>
        </w:rPr>
        <w:t xml:space="preserve">2. </w:t>
      </w:r>
      <w:r w:rsidR="00337EA4" w:rsidRPr="00865F7C">
        <w:rPr>
          <w:rFonts w:ascii="Times New Roman" w:hAnsi="Times New Roman" w:cs="Times New Roman"/>
          <w:b/>
          <w:sz w:val="26"/>
          <w:szCs w:val="26"/>
        </w:rPr>
        <w:t>Theoretical Perspective and Literature Review</w:t>
      </w:r>
    </w:p>
    <w:p w:rsidR="00337EA4" w:rsidRPr="00865F7C" w:rsidRDefault="00BB667A" w:rsidP="00865F7C">
      <w:pPr>
        <w:pStyle w:val="ListParagraph"/>
        <w:spacing w:before="120" w:line="360" w:lineRule="auto"/>
        <w:ind w:left="0"/>
        <w:jc w:val="both"/>
        <w:rPr>
          <w:rFonts w:eastAsia="Times New Roman" w:cs="Times New Roman"/>
          <w:sz w:val="26"/>
          <w:szCs w:val="26"/>
        </w:rPr>
      </w:pPr>
      <w:r w:rsidRPr="00865F7C">
        <w:rPr>
          <w:rFonts w:eastAsia="Times New Roman" w:cs="Times New Roman"/>
          <w:sz w:val="26"/>
          <w:szCs w:val="26"/>
        </w:rPr>
        <w:t xml:space="preserve">According to Berle and Means (1967), separation of ownership and control is the cause of information conflicts and disagreements between owners and managers. This conflict </w:t>
      </w:r>
      <w:r w:rsidRPr="00865F7C">
        <w:rPr>
          <w:rFonts w:eastAsia="Times New Roman" w:cs="Times New Roman"/>
          <w:sz w:val="26"/>
          <w:szCs w:val="26"/>
        </w:rPr>
        <w:lastRenderedPageBreak/>
        <w:t xml:space="preserve">was further researched and developed by Jensen and Meckling (1976) and later became the Agency theory. </w:t>
      </w:r>
      <w:r w:rsidR="00832CFB">
        <w:rPr>
          <w:rFonts w:eastAsia="Times New Roman" w:cs="Times New Roman"/>
          <w:sz w:val="26"/>
          <w:szCs w:val="26"/>
        </w:rPr>
        <w:t>This</w:t>
      </w:r>
      <w:r w:rsidRPr="00865F7C">
        <w:rPr>
          <w:rFonts w:eastAsia="Times New Roman" w:cs="Times New Roman"/>
          <w:sz w:val="26"/>
          <w:szCs w:val="26"/>
        </w:rPr>
        <w:t xml:space="preserve"> is also the first basis for the conduct of </w:t>
      </w:r>
      <w:r w:rsidR="00180D14">
        <w:rPr>
          <w:rFonts w:eastAsia="Times New Roman" w:cs="Times New Roman"/>
          <w:sz w:val="26"/>
          <w:szCs w:val="26"/>
        </w:rPr>
        <w:t>disclosure</w:t>
      </w:r>
      <w:r w:rsidRPr="00865F7C">
        <w:rPr>
          <w:rFonts w:eastAsia="Times New Roman" w:cs="Times New Roman"/>
          <w:sz w:val="26"/>
          <w:szCs w:val="26"/>
        </w:rPr>
        <w:t xml:space="preserve"> studies conducted in many regions and in countries around the world. In the period of strong development of the securities market and information technology, the information demand of the users using the information on the operation of the business is more and varied. Therefore, research on information disclosure and transparency of companies is conducted regularly and widely.</w:t>
      </w:r>
    </w:p>
    <w:p w:rsidR="00BB667A" w:rsidRPr="00865F7C" w:rsidRDefault="00BB667A" w:rsidP="00865F7C">
      <w:pPr>
        <w:pStyle w:val="ListParagraph"/>
        <w:spacing w:before="120" w:line="360" w:lineRule="auto"/>
        <w:ind w:left="0"/>
        <w:jc w:val="both"/>
        <w:rPr>
          <w:rFonts w:eastAsia="Times New Roman" w:cs="Times New Roman"/>
          <w:sz w:val="26"/>
          <w:szCs w:val="26"/>
        </w:rPr>
      </w:pPr>
      <w:r w:rsidRPr="00865F7C">
        <w:rPr>
          <w:rFonts w:eastAsia="Times New Roman" w:cs="Times New Roman"/>
          <w:sz w:val="26"/>
          <w:szCs w:val="26"/>
        </w:rPr>
        <w:t xml:space="preserve">Most information </w:t>
      </w:r>
      <w:r w:rsidR="00180D14">
        <w:rPr>
          <w:rFonts w:eastAsia="Times New Roman" w:cs="Times New Roman"/>
          <w:sz w:val="26"/>
          <w:szCs w:val="26"/>
        </w:rPr>
        <w:t>disclosure</w:t>
      </w:r>
      <w:r w:rsidRPr="00865F7C">
        <w:rPr>
          <w:rFonts w:eastAsia="Times New Roman" w:cs="Times New Roman"/>
          <w:sz w:val="26"/>
          <w:szCs w:val="26"/>
        </w:rPr>
        <w:t xml:space="preserve"> studies have been conducted nationally, but several studies have been conducted on a wide range of countries in a region, such as those o</w:t>
      </w:r>
      <w:r w:rsidR="006309CD">
        <w:rPr>
          <w:rFonts w:eastAsia="Times New Roman" w:cs="Times New Roman"/>
          <w:sz w:val="26"/>
          <w:szCs w:val="26"/>
        </w:rPr>
        <w:t>f Kahl and Belhaoui (</w:t>
      </w:r>
      <w:r w:rsidRPr="00865F7C">
        <w:rPr>
          <w:rFonts w:eastAsia="Times New Roman" w:cs="Times New Roman"/>
          <w:sz w:val="26"/>
          <w:szCs w:val="26"/>
        </w:rPr>
        <w:t>1981) was performed for 70 banks in 18 countries. The study by Meek et al. (1995) was conducted to examine the level of disclosure of multination</w:t>
      </w:r>
      <w:r w:rsidR="00D17CBF">
        <w:rPr>
          <w:rFonts w:eastAsia="Times New Roman" w:cs="Times New Roman"/>
          <w:sz w:val="26"/>
          <w:szCs w:val="26"/>
        </w:rPr>
        <w:t>al corporations from the US, UK and European</w:t>
      </w:r>
      <w:r w:rsidRPr="00865F7C">
        <w:rPr>
          <w:rFonts w:eastAsia="Times New Roman" w:cs="Times New Roman"/>
          <w:sz w:val="26"/>
          <w:szCs w:val="26"/>
        </w:rPr>
        <w:t xml:space="preserve"> </w:t>
      </w:r>
      <w:r w:rsidR="00D17CBF">
        <w:rPr>
          <w:rFonts w:eastAsia="Times New Roman" w:cs="Times New Roman"/>
          <w:sz w:val="26"/>
          <w:szCs w:val="26"/>
        </w:rPr>
        <w:t>c</w:t>
      </w:r>
      <w:r w:rsidRPr="00865F7C">
        <w:rPr>
          <w:rFonts w:eastAsia="Times New Roman" w:cs="Times New Roman"/>
          <w:sz w:val="26"/>
          <w:szCs w:val="26"/>
        </w:rPr>
        <w:t>ountries</w:t>
      </w:r>
      <w:r w:rsidR="00D17CBF">
        <w:rPr>
          <w:rFonts w:eastAsia="Times New Roman" w:cs="Times New Roman"/>
          <w:sz w:val="26"/>
          <w:szCs w:val="26"/>
        </w:rPr>
        <w:t>. S</w:t>
      </w:r>
      <w:r w:rsidRPr="00865F7C">
        <w:rPr>
          <w:rFonts w:eastAsia="Times New Roman" w:cs="Times New Roman"/>
          <w:sz w:val="26"/>
          <w:szCs w:val="26"/>
        </w:rPr>
        <w:t>tud</w:t>
      </w:r>
      <w:r w:rsidR="00D17CBF">
        <w:rPr>
          <w:rFonts w:eastAsia="Times New Roman" w:cs="Times New Roman"/>
          <w:sz w:val="26"/>
          <w:szCs w:val="26"/>
        </w:rPr>
        <w:t>ies</w:t>
      </w:r>
      <w:r w:rsidRPr="00865F7C">
        <w:rPr>
          <w:rFonts w:eastAsia="Times New Roman" w:cs="Times New Roman"/>
          <w:sz w:val="26"/>
          <w:szCs w:val="26"/>
        </w:rPr>
        <w:t xml:space="preserve"> of information disclosure </w:t>
      </w:r>
      <w:r w:rsidR="00D17CBF">
        <w:rPr>
          <w:rFonts w:eastAsia="Times New Roman" w:cs="Times New Roman"/>
          <w:sz w:val="26"/>
          <w:szCs w:val="26"/>
        </w:rPr>
        <w:t xml:space="preserve">all over the world are </w:t>
      </w:r>
      <w:r w:rsidRPr="00865F7C">
        <w:rPr>
          <w:rFonts w:eastAsia="Times New Roman" w:cs="Times New Roman"/>
          <w:sz w:val="26"/>
          <w:szCs w:val="26"/>
        </w:rPr>
        <w:t>often the same in research method</w:t>
      </w:r>
      <w:r w:rsidR="00D17CBF">
        <w:rPr>
          <w:rFonts w:eastAsia="Times New Roman" w:cs="Times New Roman"/>
          <w:sz w:val="26"/>
          <w:szCs w:val="26"/>
        </w:rPr>
        <w:t>ology</w:t>
      </w:r>
      <w:r w:rsidRPr="00865F7C">
        <w:rPr>
          <w:rFonts w:eastAsia="Times New Roman" w:cs="Times New Roman"/>
          <w:sz w:val="26"/>
          <w:szCs w:val="26"/>
        </w:rPr>
        <w:t xml:space="preserve"> and practices. Most of the studies are </w:t>
      </w:r>
      <w:r w:rsidR="00167DCE">
        <w:rPr>
          <w:rFonts w:eastAsia="Times New Roman" w:cs="Times New Roman"/>
          <w:sz w:val="26"/>
          <w:szCs w:val="26"/>
        </w:rPr>
        <w:t>empirical</w:t>
      </w:r>
      <w:r w:rsidRPr="00865F7C">
        <w:rPr>
          <w:rFonts w:eastAsia="Times New Roman" w:cs="Times New Roman"/>
          <w:sz w:val="26"/>
          <w:szCs w:val="26"/>
        </w:rPr>
        <w:t xml:space="preserve"> studies on measuring the level of information disclosure and identifying factors affecting the level of information disclosure of the business. The first study of information disclosure was conducted in the United States. Singhvi and Desai (1971) discuss the level of disclosure of the six industrial conglomerates in the United States. This study measures the level of </w:t>
      </w:r>
      <w:r w:rsidR="00180D14">
        <w:rPr>
          <w:rFonts w:eastAsia="Times New Roman" w:cs="Times New Roman"/>
          <w:sz w:val="26"/>
          <w:szCs w:val="26"/>
        </w:rPr>
        <w:t>information delivery based on a</w:t>
      </w:r>
      <w:r w:rsidR="00167DCE">
        <w:rPr>
          <w:rFonts w:eastAsia="Times New Roman" w:cs="Times New Roman"/>
          <w:sz w:val="26"/>
          <w:szCs w:val="26"/>
        </w:rPr>
        <w:t>n</w:t>
      </w:r>
      <w:r w:rsidR="00180D14">
        <w:rPr>
          <w:rFonts w:eastAsia="Times New Roman" w:cs="Times New Roman"/>
          <w:sz w:val="26"/>
          <w:szCs w:val="26"/>
        </w:rPr>
        <w:t xml:space="preserve"> index </w:t>
      </w:r>
      <w:r w:rsidRPr="00865F7C">
        <w:rPr>
          <w:rFonts w:eastAsia="Times New Roman" w:cs="Times New Roman"/>
          <w:sz w:val="26"/>
          <w:szCs w:val="26"/>
        </w:rPr>
        <w:t>of 34</w:t>
      </w:r>
      <w:r w:rsidR="00180D14">
        <w:rPr>
          <w:rFonts w:eastAsia="Times New Roman" w:cs="Times New Roman"/>
          <w:sz w:val="26"/>
          <w:szCs w:val="26"/>
        </w:rPr>
        <w:t xml:space="preserve"> information items of</w:t>
      </w:r>
      <w:r w:rsidRPr="00865F7C">
        <w:rPr>
          <w:rFonts w:eastAsia="Times New Roman" w:cs="Times New Roman"/>
          <w:sz w:val="26"/>
          <w:szCs w:val="26"/>
        </w:rPr>
        <w:t xml:space="preserve"> disclosures</w:t>
      </w:r>
      <w:r w:rsidR="00DA3F07">
        <w:rPr>
          <w:rFonts w:eastAsia="Times New Roman" w:cs="Times New Roman"/>
          <w:sz w:val="26"/>
          <w:szCs w:val="26"/>
          <w:lang w:val="vi-VN"/>
        </w:rPr>
        <w:t>.</w:t>
      </w:r>
      <w:r w:rsidRPr="00865F7C">
        <w:rPr>
          <w:rFonts w:eastAsia="Times New Roman" w:cs="Times New Roman"/>
          <w:sz w:val="26"/>
          <w:szCs w:val="26"/>
        </w:rPr>
        <w:t xml:space="preserve"> Singhvi and Desai do not clearly distinguish mandatory </w:t>
      </w:r>
      <w:r w:rsidR="00180D14">
        <w:rPr>
          <w:rFonts w:eastAsia="Times New Roman" w:cs="Times New Roman"/>
          <w:sz w:val="26"/>
          <w:szCs w:val="26"/>
        </w:rPr>
        <w:t>information disclosure</w:t>
      </w:r>
      <w:r w:rsidRPr="00865F7C">
        <w:rPr>
          <w:rFonts w:eastAsia="Times New Roman" w:cs="Times New Roman"/>
          <w:sz w:val="26"/>
          <w:szCs w:val="26"/>
        </w:rPr>
        <w:t xml:space="preserve"> and voluntary </w:t>
      </w:r>
      <w:r w:rsidR="00167DCE">
        <w:rPr>
          <w:rFonts w:eastAsia="Times New Roman" w:cs="Times New Roman"/>
          <w:sz w:val="26"/>
          <w:szCs w:val="26"/>
        </w:rPr>
        <w:t>information</w:t>
      </w:r>
      <w:r w:rsidR="00180D14">
        <w:rPr>
          <w:rFonts w:eastAsia="Times New Roman" w:cs="Times New Roman"/>
          <w:sz w:val="26"/>
          <w:szCs w:val="26"/>
        </w:rPr>
        <w:t xml:space="preserve"> </w:t>
      </w:r>
      <w:r w:rsidRPr="00865F7C">
        <w:rPr>
          <w:rFonts w:eastAsia="Times New Roman" w:cs="Times New Roman"/>
          <w:sz w:val="26"/>
          <w:szCs w:val="26"/>
        </w:rPr>
        <w:t xml:space="preserve">disclosure. Further studies were carried out for companies in the United States in the following years: Buzby (1975), Stanga (1976), Malone et al. (1993), Meek et al. (1995), Gray et al. (1995), Gelib (2000) and most recently Baek et al. (2009). </w:t>
      </w:r>
      <w:r w:rsidR="00180D14">
        <w:rPr>
          <w:rFonts w:eastAsia="Times New Roman" w:cs="Times New Roman"/>
          <w:sz w:val="26"/>
          <w:szCs w:val="26"/>
        </w:rPr>
        <w:t>Over the time</w:t>
      </w:r>
      <w:r w:rsidRPr="00865F7C">
        <w:rPr>
          <w:rFonts w:eastAsia="Times New Roman" w:cs="Times New Roman"/>
          <w:sz w:val="26"/>
          <w:szCs w:val="26"/>
        </w:rPr>
        <w:t>, the number of indexes of information is much more elaborate, notably the study by Gray et al. (1995) that lists 128 items of information</w:t>
      </w:r>
      <w:r w:rsidR="00180D14">
        <w:rPr>
          <w:rFonts w:eastAsia="Times New Roman" w:cs="Times New Roman"/>
          <w:sz w:val="26"/>
          <w:szCs w:val="26"/>
        </w:rPr>
        <w:t xml:space="preserve"> </w:t>
      </w:r>
      <w:r w:rsidRPr="00865F7C">
        <w:rPr>
          <w:rFonts w:eastAsia="Times New Roman" w:cs="Times New Roman"/>
          <w:sz w:val="26"/>
          <w:szCs w:val="26"/>
        </w:rPr>
        <w:t>declaration of 198 leading US and UK companies. The list of information is divided into 12 groups: general characteristics of the company, development strategy, acquisition and liquidation, research and development, information about future prospects, information on employees, corporate social responsibility, corporate value, departmental information, financial evaluation, foreign exchange information and stock prices</w:t>
      </w:r>
    </w:p>
    <w:p w:rsidR="00BB667A" w:rsidRPr="00865F7C" w:rsidRDefault="00BB667A" w:rsidP="00865F7C">
      <w:pPr>
        <w:pStyle w:val="ListParagraph"/>
        <w:spacing w:before="120" w:line="360" w:lineRule="auto"/>
        <w:ind w:left="0"/>
        <w:jc w:val="both"/>
        <w:rPr>
          <w:rFonts w:eastAsia="Times New Roman" w:cs="Times New Roman"/>
          <w:sz w:val="26"/>
          <w:szCs w:val="26"/>
        </w:rPr>
      </w:pPr>
      <w:r w:rsidRPr="00865F7C">
        <w:rPr>
          <w:rFonts w:eastAsia="Times New Roman" w:cs="Times New Roman"/>
          <w:sz w:val="26"/>
          <w:szCs w:val="26"/>
        </w:rPr>
        <w:lastRenderedPageBreak/>
        <w:t xml:space="preserve">Information </w:t>
      </w:r>
      <w:r w:rsidR="00180D14">
        <w:rPr>
          <w:rFonts w:eastAsia="Times New Roman" w:cs="Times New Roman"/>
          <w:sz w:val="26"/>
          <w:szCs w:val="26"/>
        </w:rPr>
        <w:t>disclosure</w:t>
      </w:r>
      <w:r w:rsidRPr="00865F7C">
        <w:rPr>
          <w:rFonts w:eastAsia="Times New Roman" w:cs="Times New Roman"/>
          <w:sz w:val="26"/>
          <w:szCs w:val="26"/>
        </w:rPr>
        <w:t xml:space="preserve"> studies have also been conducted in other developed countries such as the United Kingdom, Australia, Canada, New Zealand, Japan, Singapore and Switzerland. Information </w:t>
      </w:r>
      <w:r w:rsidR="00B30A7B">
        <w:rPr>
          <w:rFonts w:eastAsia="Times New Roman" w:cs="Times New Roman"/>
          <w:sz w:val="26"/>
          <w:szCs w:val="26"/>
        </w:rPr>
        <w:t xml:space="preserve">index of disclosure </w:t>
      </w:r>
      <w:r w:rsidRPr="00865F7C">
        <w:rPr>
          <w:rFonts w:eastAsia="Times New Roman" w:cs="Times New Roman"/>
          <w:sz w:val="26"/>
          <w:szCs w:val="26"/>
        </w:rPr>
        <w:t xml:space="preserve">is also expanded. Over the past 10 years, information </w:t>
      </w:r>
      <w:r w:rsidR="00180D14">
        <w:rPr>
          <w:rFonts w:eastAsia="Times New Roman" w:cs="Times New Roman"/>
          <w:sz w:val="26"/>
          <w:szCs w:val="26"/>
        </w:rPr>
        <w:t>disclosure</w:t>
      </w:r>
      <w:r w:rsidRPr="00865F7C">
        <w:rPr>
          <w:rFonts w:eastAsia="Times New Roman" w:cs="Times New Roman"/>
          <w:sz w:val="26"/>
          <w:szCs w:val="26"/>
        </w:rPr>
        <w:t xml:space="preserve"> studies have been conducted in emerging markets such as India, Kenya, China, Tunisia, Vietnam ... According to Kelly (2012), The differences between information-disclosure studies in developed and emerging-market countries can be seen in the difference between ownership characteristics and market structu</w:t>
      </w:r>
      <w:r w:rsidR="00B30A7B">
        <w:rPr>
          <w:rFonts w:eastAsia="Times New Roman" w:cs="Times New Roman"/>
          <w:sz w:val="26"/>
          <w:szCs w:val="26"/>
        </w:rPr>
        <w:t>re</w:t>
      </w:r>
      <w:r w:rsidRPr="00865F7C">
        <w:rPr>
          <w:rFonts w:eastAsia="Times New Roman" w:cs="Times New Roman"/>
          <w:sz w:val="26"/>
          <w:szCs w:val="26"/>
        </w:rPr>
        <w:t xml:space="preserve"> in countries. Meek et al. (1995) conducted a study on information disclosure of 116 large international corporations from developed countries including the United States, Britain, France, Germany and the Netherlands. The voluntary disclosure rate of these corporations is 33% for strategic information, 46% for financial information and 35% for voluntary information. In order to measure the level of information disclosure, research often uses the scoring method for each item of information and calculates the average number of items in the list published in the </w:t>
      </w:r>
      <w:r w:rsidR="00B30A7B">
        <w:rPr>
          <w:rFonts w:eastAsia="Times New Roman" w:cs="Times New Roman"/>
          <w:sz w:val="26"/>
          <w:szCs w:val="26"/>
        </w:rPr>
        <w:t>company</w:t>
      </w:r>
      <w:r w:rsidRPr="00865F7C">
        <w:rPr>
          <w:rFonts w:eastAsia="Times New Roman" w:cs="Times New Roman"/>
          <w:sz w:val="26"/>
          <w:szCs w:val="26"/>
        </w:rPr>
        <w:t xml:space="preserve"> report. Several other studies have used quality indicators and scoping indicators to measure the level of disclosure, as reported by McNally et al. (1992) for 103 listed companies. New Zealand Stock Exchange, a study by Naser et al. (2002) for 84 non-finance companies listed on the Jordan Stock Exchange, or Gul and Leung (2</w:t>
      </w:r>
      <w:r w:rsidR="00B30A7B">
        <w:rPr>
          <w:rFonts w:eastAsia="Times New Roman" w:cs="Times New Roman"/>
          <w:sz w:val="26"/>
          <w:szCs w:val="26"/>
        </w:rPr>
        <w:t xml:space="preserve">004) for information disclosure of </w:t>
      </w:r>
      <w:r w:rsidRPr="00865F7C">
        <w:rPr>
          <w:rFonts w:eastAsia="Times New Roman" w:cs="Times New Roman"/>
          <w:sz w:val="26"/>
          <w:szCs w:val="26"/>
        </w:rPr>
        <w:t>385 non-financial com</w:t>
      </w:r>
      <w:r w:rsidR="00B30A7B">
        <w:rPr>
          <w:rFonts w:eastAsia="Times New Roman" w:cs="Times New Roman"/>
          <w:sz w:val="26"/>
          <w:szCs w:val="26"/>
        </w:rPr>
        <w:t>panies listed on the Hong Kong s</w:t>
      </w:r>
      <w:r w:rsidRPr="00865F7C">
        <w:rPr>
          <w:rFonts w:eastAsia="Times New Roman" w:cs="Times New Roman"/>
          <w:sz w:val="26"/>
          <w:szCs w:val="26"/>
        </w:rPr>
        <w:t xml:space="preserve">tock </w:t>
      </w:r>
      <w:r w:rsidR="00B30A7B">
        <w:rPr>
          <w:rFonts w:eastAsia="Times New Roman" w:cs="Times New Roman"/>
          <w:sz w:val="26"/>
          <w:szCs w:val="26"/>
        </w:rPr>
        <w:t>ma</w:t>
      </w:r>
      <w:r w:rsidR="006309CD">
        <w:rPr>
          <w:rFonts w:eastAsia="Times New Roman" w:cs="Times New Roman"/>
          <w:sz w:val="26"/>
          <w:szCs w:val="26"/>
        </w:rPr>
        <w:t>r</w:t>
      </w:r>
      <w:r w:rsidR="00B30A7B">
        <w:rPr>
          <w:rFonts w:eastAsia="Times New Roman" w:cs="Times New Roman"/>
          <w:sz w:val="26"/>
          <w:szCs w:val="26"/>
        </w:rPr>
        <w:t>ket</w:t>
      </w:r>
    </w:p>
    <w:p w:rsidR="00865F7C" w:rsidRPr="00865F7C" w:rsidRDefault="00BB667A" w:rsidP="00865F7C">
      <w:pPr>
        <w:pStyle w:val="ListParagraph"/>
        <w:spacing w:before="120" w:line="360" w:lineRule="auto"/>
        <w:ind w:left="0"/>
        <w:jc w:val="both"/>
        <w:rPr>
          <w:rFonts w:eastAsia="Times New Roman" w:cs="Times New Roman"/>
          <w:i/>
          <w:sz w:val="26"/>
          <w:szCs w:val="26"/>
        </w:rPr>
      </w:pPr>
      <w:r w:rsidRPr="00865F7C">
        <w:rPr>
          <w:rFonts w:eastAsia="Times New Roman" w:cs="Times New Roman"/>
          <w:i/>
          <w:sz w:val="26"/>
          <w:szCs w:val="26"/>
        </w:rPr>
        <w:t xml:space="preserve">Overview of research on information disclosure of commercial banks </w:t>
      </w:r>
    </w:p>
    <w:p w:rsidR="00BB667A" w:rsidRPr="00865F7C" w:rsidRDefault="00BB667A" w:rsidP="00865F7C">
      <w:pPr>
        <w:pStyle w:val="ListParagraph"/>
        <w:spacing w:before="120" w:line="360" w:lineRule="auto"/>
        <w:ind w:left="0"/>
        <w:jc w:val="both"/>
        <w:rPr>
          <w:rFonts w:eastAsia="Times New Roman" w:cs="Times New Roman"/>
          <w:sz w:val="26"/>
          <w:szCs w:val="26"/>
        </w:rPr>
      </w:pPr>
      <w:r w:rsidRPr="00865F7C">
        <w:rPr>
          <w:rFonts w:eastAsia="Times New Roman" w:cs="Times New Roman"/>
          <w:sz w:val="26"/>
          <w:szCs w:val="26"/>
        </w:rPr>
        <w:t xml:space="preserve">Research on information disclosure by banks is done separately from the </w:t>
      </w:r>
      <w:r w:rsidR="00B30A7B">
        <w:rPr>
          <w:rFonts w:eastAsia="Times New Roman" w:cs="Times New Roman"/>
          <w:sz w:val="26"/>
          <w:szCs w:val="26"/>
        </w:rPr>
        <w:t xml:space="preserve">other types of </w:t>
      </w:r>
      <w:r w:rsidRPr="00865F7C">
        <w:rPr>
          <w:rFonts w:eastAsia="Times New Roman" w:cs="Times New Roman"/>
          <w:sz w:val="26"/>
          <w:szCs w:val="26"/>
        </w:rPr>
        <w:t xml:space="preserve">business due to the characteristics of monetary trading. According to Hawashi (2014), very few studies measure the level of information disclosure by banks to understand the relationship between the business characteristics of a bank and the level of disclosure of voluntary information. A bank is a special business because it </w:t>
      </w:r>
      <w:r w:rsidR="00B30A7B">
        <w:rPr>
          <w:rFonts w:eastAsia="Times New Roman" w:cs="Times New Roman"/>
          <w:sz w:val="26"/>
          <w:szCs w:val="26"/>
        </w:rPr>
        <w:t>relates</w:t>
      </w:r>
      <w:r w:rsidRPr="00865F7C">
        <w:rPr>
          <w:rFonts w:eastAsia="Times New Roman" w:cs="Times New Roman"/>
          <w:sz w:val="26"/>
          <w:szCs w:val="26"/>
        </w:rPr>
        <w:t xml:space="preserve"> directly </w:t>
      </w:r>
      <w:r w:rsidR="00B30A7B">
        <w:rPr>
          <w:rFonts w:eastAsia="Times New Roman" w:cs="Times New Roman"/>
          <w:sz w:val="26"/>
          <w:szCs w:val="26"/>
        </w:rPr>
        <w:t>to and impact on</w:t>
      </w:r>
      <w:r w:rsidRPr="00865F7C">
        <w:rPr>
          <w:rFonts w:eastAsia="Times New Roman" w:cs="Times New Roman"/>
          <w:sz w:val="26"/>
          <w:szCs w:val="26"/>
        </w:rPr>
        <w:t xml:space="preserve"> other businesses</w:t>
      </w:r>
      <w:r w:rsidR="00B30A7B">
        <w:rPr>
          <w:rFonts w:eastAsia="Times New Roman" w:cs="Times New Roman"/>
          <w:sz w:val="26"/>
          <w:szCs w:val="26"/>
        </w:rPr>
        <w:t>.</w:t>
      </w:r>
      <w:r w:rsidRPr="00865F7C">
        <w:rPr>
          <w:rFonts w:eastAsia="Times New Roman" w:cs="Times New Roman"/>
          <w:sz w:val="26"/>
          <w:szCs w:val="26"/>
        </w:rPr>
        <w:t xml:space="preserve"> </w:t>
      </w:r>
      <w:r w:rsidR="00B30A7B">
        <w:rPr>
          <w:rFonts w:eastAsia="Times New Roman" w:cs="Times New Roman"/>
          <w:sz w:val="26"/>
          <w:szCs w:val="26"/>
        </w:rPr>
        <w:t>M</w:t>
      </w:r>
      <w:r w:rsidRPr="00865F7C">
        <w:rPr>
          <w:rFonts w:eastAsia="Times New Roman" w:cs="Times New Roman"/>
          <w:sz w:val="26"/>
          <w:szCs w:val="26"/>
        </w:rPr>
        <w:t>ore importantly, it</w:t>
      </w:r>
      <w:r w:rsidR="00B30A7B">
        <w:rPr>
          <w:rFonts w:eastAsia="Times New Roman" w:cs="Times New Roman"/>
          <w:sz w:val="26"/>
          <w:szCs w:val="26"/>
        </w:rPr>
        <w:t xml:space="preserve"> is a kind </w:t>
      </w:r>
      <w:r w:rsidR="006309CD">
        <w:rPr>
          <w:rFonts w:eastAsia="Times New Roman" w:cs="Times New Roman"/>
          <w:sz w:val="26"/>
          <w:szCs w:val="26"/>
        </w:rPr>
        <w:t xml:space="preserve">of </w:t>
      </w:r>
      <w:r w:rsidR="006309CD" w:rsidRPr="00865F7C">
        <w:rPr>
          <w:rFonts w:eastAsia="Times New Roman" w:cs="Times New Roman"/>
          <w:sz w:val="26"/>
          <w:szCs w:val="26"/>
        </w:rPr>
        <w:t>highly</w:t>
      </w:r>
      <w:r w:rsidR="00B30A7B">
        <w:rPr>
          <w:rFonts w:eastAsia="Times New Roman" w:cs="Times New Roman"/>
          <w:sz w:val="26"/>
          <w:szCs w:val="26"/>
        </w:rPr>
        <w:t xml:space="preserve"> sensitive currency business required</w:t>
      </w:r>
      <w:r w:rsidRPr="00865F7C">
        <w:rPr>
          <w:rFonts w:eastAsia="Times New Roman" w:cs="Times New Roman"/>
          <w:sz w:val="26"/>
          <w:szCs w:val="26"/>
        </w:rPr>
        <w:t xml:space="preserve"> </w:t>
      </w:r>
      <w:r w:rsidR="00B30A7B">
        <w:rPr>
          <w:rFonts w:eastAsia="Times New Roman" w:cs="Times New Roman"/>
          <w:sz w:val="26"/>
          <w:szCs w:val="26"/>
        </w:rPr>
        <w:t>v</w:t>
      </w:r>
      <w:r w:rsidRPr="00865F7C">
        <w:rPr>
          <w:rFonts w:eastAsia="Times New Roman" w:cs="Times New Roman"/>
          <w:sz w:val="26"/>
          <w:szCs w:val="26"/>
        </w:rPr>
        <w:t xml:space="preserve">igilance in management and administration to avoid damage to the economy. The first published study on bank disclosures by Kahl and Belkaoui (1981) measured the level of information provided by 70 commercial banks selected from 18 developed </w:t>
      </w:r>
      <w:r w:rsidR="006309CD" w:rsidRPr="00865F7C">
        <w:rPr>
          <w:rFonts w:eastAsia="Times New Roman" w:cs="Times New Roman"/>
          <w:sz w:val="26"/>
          <w:szCs w:val="26"/>
        </w:rPr>
        <w:t xml:space="preserve">economies. </w:t>
      </w:r>
      <w:r w:rsidRPr="00865F7C">
        <w:rPr>
          <w:rFonts w:eastAsia="Times New Roman" w:cs="Times New Roman"/>
          <w:sz w:val="26"/>
          <w:szCs w:val="26"/>
        </w:rPr>
        <w:t xml:space="preserve">Criteria for selecting </w:t>
      </w:r>
      <w:r w:rsidR="005042FA">
        <w:rPr>
          <w:rFonts w:eastAsia="Times New Roman" w:cs="Times New Roman"/>
          <w:sz w:val="26"/>
          <w:szCs w:val="26"/>
        </w:rPr>
        <w:t xml:space="preserve">sample and </w:t>
      </w:r>
      <w:r w:rsidR="006309CD">
        <w:rPr>
          <w:rFonts w:eastAsia="Times New Roman" w:cs="Times New Roman"/>
          <w:sz w:val="26"/>
          <w:szCs w:val="26"/>
        </w:rPr>
        <w:t xml:space="preserve">data </w:t>
      </w:r>
      <w:r w:rsidR="006309CD" w:rsidRPr="00865F7C">
        <w:rPr>
          <w:rFonts w:eastAsia="Times New Roman" w:cs="Times New Roman"/>
          <w:sz w:val="26"/>
          <w:szCs w:val="26"/>
        </w:rPr>
        <w:t>are</w:t>
      </w:r>
      <w:r w:rsidRPr="00865F7C">
        <w:rPr>
          <w:rFonts w:eastAsia="Times New Roman" w:cs="Times New Roman"/>
          <w:sz w:val="26"/>
          <w:szCs w:val="26"/>
        </w:rPr>
        <w:t xml:space="preserve"> banks that provide financial reports in English in 1975. A list of 30 categories of information is suggested </w:t>
      </w:r>
      <w:r w:rsidRPr="00865F7C">
        <w:rPr>
          <w:rFonts w:eastAsia="Times New Roman" w:cs="Times New Roman"/>
          <w:sz w:val="26"/>
          <w:szCs w:val="26"/>
        </w:rPr>
        <w:lastRenderedPageBreak/>
        <w:t>by reference to the top 15 economists of the University of Ottawa and professional banking analysts. The results of the study show that the level of information disclosure of commercial banks in different countries is not the same</w:t>
      </w:r>
      <w:r w:rsidR="00744FF9">
        <w:rPr>
          <w:rFonts w:eastAsia="Times New Roman" w:cs="Times New Roman"/>
          <w:sz w:val="26"/>
          <w:szCs w:val="26"/>
          <w:lang w:val="vi-VN"/>
        </w:rPr>
        <w:t>.</w:t>
      </w:r>
      <w:r w:rsidRPr="00865F7C">
        <w:rPr>
          <w:rFonts w:eastAsia="Times New Roman" w:cs="Times New Roman"/>
          <w:sz w:val="26"/>
          <w:szCs w:val="26"/>
        </w:rPr>
        <w:t xml:space="preserve"> </w:t>
      </w:r>
      <w:r w:rsidR="006309CD">
        <w:rPr>
          <w:rFonts w:eastAsia="Times New Roman" w:cs="Times New Roman"/>
          <w:sz w:val="26"/>
          <w:szCs w:val="26"/>
        </w:rPr>
        <w:t>Recently, s</w:t>
      </w:r>
      <w:r w:rsidRPr="00865F7C">
        <w:rPr>
          <w:rFonts w:eastAsia="Times New Roman" w:cs="Times New Roman"/>
          <w:sz w:val="26"/>
          <w:szCs w:val="26"/>
        </w:rPr>
        <w:t>tudy by Hossain and Reaz (2007)</w:t>
      </w:r>
      <w:r w:rsidR="006309CD">
        <w:rPr>
          <w:rFonts w:eastAsia="Times New Roman" w:cs="Times New Roman"/>
          <w:sz w:val="26"/>
          <w:szCs w:val="26"/>
        </w:rPr>
        <w:t xml:space="preserve"> assesses</w:t>
      </w:r>
      <w:r w:rsidRPr="00865F7C">
        <w:rPr>
          <w:rFonts w:eastAsia="Times New Roman" w:cs="Times New Roman"/>
          <w:sz w:val="26"/>
          <w:szCs w:val="26"/>
        </w:rPr>
        <w:t xml:space="preserve"> the impact of commercial bank characteristics on the voluntary disclosure of 38 commercial banks in India. Th</w:t>
      </w:r>
      <w:r w:rsidR="00DA3F07">
        <w:rPr>
          <w:rFonts w:eastAsia="Times New Roman" w:cs="Times New Roman"/>
          <w:sz w:val="26"/>
          <w:szCs w:val="26"/>
        </w:rPr>
        <w:t>is</w:t>
      </w:r>
      <w:r w:rsidR="00DA3F07">
        <w:rPr>
          <w:rFonts w:eastAsia="Times New Roman" w:cs="Times New Roman"/>
          <w:sz w:val="26"/>
          <w:szCs w:val="26"/>
          <w:lang w:val="vi-VN"/>
        </w:rPr>
        <w:t xml:space="preserve"> study</w:t>
      </w:r>
      <w:r w:rsidRPr="00865F7C">
        <w:rPr>
          <w:rFonts w:eastAsia="Times New Roman" w:cs="Times New Roman"/>
          <w:sz w:val="26"/>
          <w:szCs w:val="26"/>
        </w:rPr>
        <w:t xml:space="preserve"> uses a list of 65 volun</w:t>
      </w:r>
      <w:r w:rsidR="00DA3F07">
        <w:rPr>
          <w:rFonts w:eastAsia="Times New Roman" w:cs="Times New Roman"/>
          <w:sz w:val="26"/>
          <w:szCs w:val="26"/>
        </w:rPr>
        <w:t>tary information</w:t>
      </w:r>
      <w:r w:rsidRPr="00865F7C">
        <w:rPr>
          <w:rFonts w:eastAsia="Times New Roman" w:cs="Times New Roman"/>
          <w:sz w:val="26"/>
          <w:szCs w:val="26"/>
        </w:rPr>
        <w:t xml:space="preserve">, </w:t>
      </w:r>
      <w:r w:rsidR="00DA3F07">
        <w:rPr>
          <w:rFonts w:eastAsia="Times New Roman" w:cs="Times New Roman"/>
          <w:sz w:val="26"/>
          <w:szCs w:val="26"/>
        </w:rPr>
        <w:t>applies</w:t>
      </w:r>
      <w:r w:rsidRPr="00865F7C">
        <w:rPr>
          <w:rFonts w:eastAsia="Times New Roman" w:cs="Times New Roman"/>
          <w:sz w:val="26"/>
          <w:szCs w:val="26"/>
        </w:rPr>
        <w:t xml:space="preserve"> a</w:t>
      </w:r>
      <w:r w:rsidR="006309CD">
        <w:rPr>
          <w:rFonts w:eastAsia="Times New Roman" w:cs="Times New Roman"/>
          <w:sz w:val="26"/>
          <w:szCs w:val="26"/>
        </w:rPr>
        <w:t>n</w:t>
      </w:r>
      <w:r w:rsidRPr="00865F7C">
        <w:rPr>
          <w:rFonts w:eastAsia="Times New Roman" w:cs="Times New Roman"/>
          <w:sz w:val="26"/>
          <w:szCs w:val="26"/>
        </w:rPr>
        <w:t xml:space="preserve"> </w:t>
      </w:r>
      <w:r w:rsidR="001D0EA0">
        <w:rPr>
          <w:rFonts w:eastAsia="Times New Roman" w:cs="Times New Roman"/>
          <w:sz w:val="26"/>
          <w:szCs w:val="26"/>
        </w:rPr>
        <w:t xml:space="preserve">unweighted-average </w:t>
      </w:r>
      <w:r w:rsidRPr="00865F7C">
        <w:rPr>
          <w:rFonts w:eastAsia="Times New Roman" w:cs="Times New Roman"/>
          <w:sz w:val="26"/>
          <w:szCs w:val="26"/>
        </w:rPr>
        <w:t>method to calculate the rate of disclosure</w:t>
      </w:r>
      <w:r w:rsidR="001D0EA0">
        <w:rPr>
          <w:rFonts w:eastAsia="Times New Roman" w:cs="Times New Roman"/>
          <w:sz w:val="26"/>
          <w:szCs w:val="26"/>
        </w:rPr>
        <w:t>. The conclusion is that</w:t>
      </w:r>
      <w:r w:rsidRPr="00865F7C">
        <w:rPr>
          <w:rFonts w:eastAsia="Times New Roman" w:cs="Times New Roman"/>
          <w:sz w:val="26"/>
          <w:szCs w:val="26"/>
        </w:rPr>
        <w:t xml:space="preserve"> Indian banks </w:t>
      </w:r>
      <w:r w:rsidR="001D0EA0">
        <w:rPr>
          <w:rFonts w:eastAsia="Times New Roman" w:cs="Times New Roman"/>
          <w:sz w:val="26"/>
          <w:szCs w:val="26"/>
        </w:rPr>
        <w:t xml:space="preserve">have </w:t>
      </w:r>
      <w:r w:rsidRPr="00865F7C">
        <w:rPr>
          <w:rFonts w:eastAsia="Times New Roman" w:cs="Times New Roman"/>
          <w:sz w:val="26"/>
          <w:szCs w:val="26"/>
        </w:rPr>
        <w:t>relatively low</w:t>
      </w:r>
      <w:r w:rsidR="001D0EA0">
        <w:rPr>
          <w:rFonts w:eastAsia="Times New Roman" w:cs="Times New Roman"/>
          <w:sz w:val="26"/>
          <w:szCs w:val="26"/>
        </w:rPr>
        <w:t xml:space="preserve"> level of information disclosure</w:t>
      </w:r>
      <w:r w:rsidRPr="00865F7C">
        <w:rPr>
          <w:rFonts w:eastAsia="Times New Roman" w:cs="Times New Roman"/>
          <w:sz w:val="26"/>
          <w:szCs w:val="26"/>
        </w:rPr>
        <w:t xml:space="preserve"> with an average of 35%. Commercial banks have the highest disclosure </w:t>
      </w:r>
      <w:r w:rsidR="001D0EA0">
        <w:rPr>
          <w:rFonts w:eastAsia="Times New Roman" w:cs="Times New Roman"/>
          <w:sz w:val="26"/>
          <w:szCs w:val="26"/>
        </w:rPr>
        <w:t>rate of 55% and low</w:t>
      </w:r>
      <w:r w:rsidR="00DA3F07">
        <w:rPr>
          <w:rFonts w:eastAsia="Times New Roman" w:cs="Times New Roman"/>
          <w:sz w:val="26"/>
          <w:szCs w:val="26"/>
        </w:rPr>
        <w:t>est</w:t>
      </w:r>
      <w:r w:rsidR="001D0EA0">
        <w:rPr>
          <w:rFonts w:eastAsia="Times New Roman" w:cs="Times New Roman"/>
          <w:sz w:val="26"/>
          <w:szCs w:val="26"/>
        </w:rPr>
        <w:t xml:space="preserve"> rate</w:t>
      </w:r>
      <w:r w:rsidRPr="00865F7C">
        <w:rPr>
          <w:rFonts w:eastAsia="Times New Roman" w:cs="Times New Roman"/>
          <w:sz w:val="26"/>
          <w:szCs w:val="26"/>
        </w:rPr>
        <w:t xml:space="preserve"> of 20%. </w:t>
      </w:r>
      <w:r w:rsidR="001D0EA0">
        <w:rPr>
          <w:rFonts w:eastAsia="Times New Roman" w:cs="Times New Roman"/>
          <w:sz w:val="26"/>
          <w:szCs w:val="26"/>
        </w:rPr>
        <w:t>A</w:t>
      </w:r>
      <w:r w:rsidRPr="00865F7C">
        <w:rPr>
          <w:rFonts w:eastAsia="Times New Roman" w:cs="Times New Roman"/>
          <w:sz w:val="26"/>
          <w:szCs w:val="26"/>
        </w:rPr>
        <w:t xml:space="preserve"> </w:t>
      </w:r>
      <w:r w:rsidR="001D0EA0">
        <w:rPr>
          <w:rFonts w:eastAsia="Times New Roman" w:cs="Times New Roman"/>
          <w:sz w:val="26"/>
          <w:szCs w:val="26"/>
        </w:rPr>
        <w:t>study</w:t>
      </w:r>
      <w:r w:rsidRPr="00865F7C">
        <w:rPr>
          <w:rFonts w:eastAsia="Times New Roman" w:cs="Times New Roman"/>
          <w:sz w:val="26"/>
          <w:szCs w:val="26"/>
        </w:rPr>
        <w:t xml:space="preserve"> by Menassa (2010) investigated the disclosure of the 24 Lebanese commercial banks and more recentl</w:t>
      </w:r>
      <w:r w:rsidR="001D0EA0">
        <w:rPr>
          <w:rFonts w:eastAsia="Times New Roman" w:cs="Times New Roman"/>
          <w:sz w:val="26"/>
          <w:szCs w:val="26"/>
        </w:rPr>
        <w:t>y the Agyei-Mensah (2012) study</w:t>
      </w:r>
      <w:r w:rsidRPr="00865F7C">
        <w:rPr>
          <w:rFonts w:eastAsia="Times New Roman" w:cs="Times New Roman"/>
          <w:sz w:val="26"/>
          <w:szCs w:val="26"/>
        </w:rPr>
        <w:t xml:space="preserve"> for 21 agricultural banks of Ghana.</w:t>
      </w:r>
    </w:p>
    <w:p w:rsidR="00BB667A" w:rsidRPr="00865F7C" w:rsidRDefault="00BB667A" w:rsidP="00865F7C">
      <w:pPr>
        <w:pStyle w:val="ListParagraph"/>
        <w:spacing w:before="120" w:line="360" w:lineRule="auto"/>
        <w:ind w:left="0"/>
        <w:jc w:val="both"/>
        <w:rPr>
          <w:rFonts w:eastAsia="Times New Roman" w:cs="Times New Roman"/>
          <w:sz w:val="26"/>
          <w:szCs w:val="26"/>
        </w:rPr>
      </w:pPr>
      <w:r w:rsidRPr="00865F7C">
        <w:rPr>
          <w:rFonts w:eastAsia="Times New Roman" w:cs="Times New Roman"/>
          <w:sz w:val="26"/>
          <w:szCs w:val="26"/>
        </w:rPr>
        <w:t>Unlike the above studies, which o</w:t>
      </w:r>
      <w:r w:rsidR="00833F9C">
        <w:rPr>
          <w:rFonts w:eastAsia="Times New Roman" w:cs="Times New Roman"/>
          <w:sz w:val="26"/>
          <w:szCs w:val="26"/>
        </w:rPr>
        <w:t>nly use data in one</w:t>
      </w:r>
      <w:r w:rsidRPr="00865F7C">
        <w:rPr>
          <w:rFonts w:eastAsia="Times New Roman" w:cs="Times New Roman"/>
          <w:sz w:val="26"/>
          <w:szCs w:val="26"/>
        </w:rPr>
        <w:t xml:space="preserve"> financial year, Kribat's (2009) study used data from fiscal years 2000 through</w:t>
      </w:r>
      <w:r w:rsidR="00833F9C">
        <w:rPr>
          <w:rFonts w:eastAsia="Times New Roman" w:cs="Times New Roman"/>
          <w:sz w:val="26"/>
          <w:szCs w:val="26"/>
        </w:rPr>
        <w:t xml:space="preserve"> 2006 of eight commercial banks</w:t>
      </w:r>
      <w:r w:rsidRPr="00865F7C">
        <w:rPr>
          <w:rFonts w:eastAsia="Times New Roman" w:cs="Times New Roman"/>
          <w:sz w:val="26"/>
          <w:szCs w:val="26"/>
        </w:rPr>
        <w:t xml:space="preserve"> in Libya. The author is based on the system of legal documents including Commercial Law, Banking Law and Income Tax Law to check the list of required information presented in the financial report continuously for 7 years. Kribat concludes that Libyan banks have failed to comply fully with the mandatory disclosure requirements on </w:t>
      </w:r>
      <w:r w:rsidR="00833F9C">
        <w:rPr>
          <w:rFonts w:eastAsia="Times New Roman" w:cs="Times New Roman"/>
          <w:sz w:val="26"/>
          <w:szCs w:val="26"/>
        </w:rPr>
        <w:t xml:space="preserve">their </w:t>
      </w:r>
      <w:r w:rsidRPr="00865F7C">
        <w:rPr>
          <w:rFonts w:eastAsia="Times New Roman" w:cs="Times New Roman"/>
          <w:sz w:val="26"/>
          <w:szCs w:val="26"/>
        </w:rPr>
        <w:t xml:space="preserve">financial statements. </w:t>
      </w:r>
    </w:p>
    <w:p w:rsidR="00337EA4" w:rsidRPr="00C07E29" w:rsidRDefault="005E6FD7" w:rsidP="00C07E29">
      <w:pPr>
        <w:pStyle w:val="HTMLPreformatted"/>
        <w:shd w:val="clear" w:color="auto" w:fill="FFFFFF"/>
        <w:spacing w:before="120" w:after="120" w:line="360" w:lineRule="auto"/>
        <w:jc w:val="both"/>
        <w:rPr>
          <w:rFonts w:ascii="Times New Roman" w:hAnsi="Times New Roman" w:cs="Times New Roman"/>
          <w:b/>
          <w:sz w:val="26"/>
          <w:szCs w:val="26"/>
        </w:rPr>
      </w:pPr>
      <w:r>
        <w:rPr>
          <w:rFonts w:ascii="Times New Roman" w:hAnsi="Times New Roman" w:cs="Times New Roman"/>
          <w:b/>
          <w:sz w:val="26"/>
          <w:szCs w:val="26"/>
        </w:rPr>
        <w:t>3</w:t>
      </w:r>
      <w:r w:rsidR="00C07E29" w:rsidRPr="00C07E29">
        <w:rPr>
          <w:rFonts w:ascii="Times New Roman" w:hAnsi="Times New Roman" w:cs="Times New Roman"/>
          <w:b/>
          <w:sz w:val="26"/>
          <w:szCs w:val="26"/>
        </w:rPr>
        <w:t xml:space="preserve">. </w:t>
      </w:r>
      <w:r w:rsidR="00337EA4" w:rsidRPr="00C07E29">
        <w:rPr>
          <w:rFonts w:ascii="Times New Roman" w:hAnsi="Times New Roman" w:cs="Times New Roman"/>
          <w:b/>
          <w:sz w:val="26"/>
          <w:szCs w:val="26"/>
        </w:rPr>
        <w:t>Methodology and Data Source</w:t>
      </w:r>
    </w:p>
    <w:p w:rsidR="008655D0" w:rsidRPr="008655D0" w:rsidRDefault="005E6FD7" w:rsidP="00865F7C">
      <w:pPr>
        <w:pStyle w:val="HTMLPreformatted"/>
        <w:shd w:val="clear" w:color="auto" w:fill="FFFFFF"/>
        <w:spacing w:before="120" w:after="120" w:line="360" w:lineRule="auto"/>
        <w:jc w:val="both"/>
        <w:rPr>
          <w:rFonts w:ascii="Times New Roman" w:hAnsi="Times New Roman" w:cs="Times New Roman"/>
          <w:i/>
          <w:sz w:val="26"/>
          <w:szCs w:val="26"/>
        </w:rPr>
      </w:pPr>
      <w:r>
        <w:rPr>
          <w:rFonts w:ascii="Times New Roman" w:hAnsi="Times New Roman" w:cs="Times New Roman"/>
          <w:i/>
          <w:sz w:val="26"/>
          <w:szCs w:val="26"/>
        </w:rPr>
        <w:t>3</w:t>
      </w:r>
      <w:r w:rsidR="008655D0" w:rsidRPr="008655D0">
        <w:rPr>
          <w:rFonts w:ascii="Times New Roman" w:hAnsi="Times New Roman" w:cs="Times New Roman"/>
          <w:i/>
          <w:sz w:val="26"/>
          <w:szCs w:val="26"/>
        </w:rPr>
        <w:t xml:space="preserve">.1 </w:t>
      </w:r>
      <w:r>
        <w:rPr>
          <w:rFonts w:ascii="Times New Roman" w:hAnsi="Times New Roman" w:cs="Times New Roman"/>
          <w:i/>
          <w:sz w:val="26"/>
          <w:szCs w:val="26"/>
        </w:rPr>
        <w:t>Sample and d</w:t>
      </w:r>
      <w:r w:rsidR="008655D0" w:rsidRPr="008655D0">
        <w:rPr>
          <w:rFonts w:ascii="Times New Roman" w:hAnsi="Times New Roman" w:cs="Times New Roman"/>
          <w:i/>
          <w:sz w:val="26"/>
          <w:szCs w:val="26"/>
        </w:rPr>
        <w:t>ata</w:t>
      </w:r>
      <w:r>
        <w:rPr>
          <w:rFonts w:ascii="Times New Roman" w:hAnsi="Times New Roman" w:cs="Times New Roman"/>
          <w:i/>
          <w:sz w:val="26"/>
          <w:szCs w:val="26"/>
        </w:rPr>
        <w:t xml:space="preserve"> source</w:t>
      </w:r>
    </w:p>
    <w:p w:rsidR="00337EA4" w:rsidRPr="00865F7C" w:rsidRDefault="005E6FD7" w:rsidP="00865F7C">
      <w:pPr>
        <w:pStyle w:val="HTMLPreformatted"/>
        <w:shd w:val="clear" w:color="auto" w:fill="FFFFFF"/>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The sample of this study concentrates on</w:t>
      </w:r>
      <w:r w:rsidR="00A343B9" w:rsidRPr="00865F7C">
        <w:rPr>
          <w:rFonts w:ascii="Times New Roman" w:hAnsi="Times New Roman" w:cs="Times New Roman"/>
          <w:sz w:val="26"/>
          <w:szCs w:val="26"/>
        </w:rPr>
        <w:t xml:space="preserve"> commercial banks in Vietnam. </w:t>
      </w:r>
      <w:r w:rsidR="006F4EC9">
        <w:rPr>
          <w:rFonts w:ascii="Times New Roman" w:hAnsi="Times New Roman" w:cs="Times New Roman"/>
          <w:sz w:val="26"/>
          <w:szCs w:val="26"/>
        </w:rPr>
        <w:t>Accor</w:t>
      </w:r>
      <w:r>
        <w:rPr>
          <w:rFonts w:ascii="Times New Roman" w:hAnsi="Times New Roman" w:cs="Times New Roman"/>
          <w:sz w:val="26"/>
          <w:szCs w:val="26"/>
        </w:rPr>
        <w:t>ding to the report by State Bank of Vietnam, b</w:t>
      </w:r>
      <w:r w:rsidR="00A343B9" w:rsidRPr="00865F7C">
        <w:rPr>
          <w:rFonts w:ascii="Times New Roman" w:hAnsi="Times New Roman" w:cs="Times New Roman"/>
          <w:sz w:val="26"/>
          <w:szCs w:val="26"/>
        </w:rPr>
        <w:t xml:space="preserve">y the end of 2017, there are 37 banks operating in Vietnam, of which 31 are commercial banks. However, among the commercial banks in Vietnam, only 21 commercial joint stock banks publish annual reports </w:t>
      </w:r>
      <w:r>
        <w:rPr>
          <w:rFonts w:ascii="Times New Roman" w:hAnsi="Times New Roman" w:cs="Times New Roman"/>
          <w:sz w:val="26"/>
          <w:szCs w:val="26"/>
        </w:rPr>
        <w:t>in the financial year</w:t>
      </w:r>
      <w:r w:rsidR="00A343B9" w:rsidRPr="00865F7C">
        <w:rPr>
          <w:rFonts w:ascii="Times New Roman" w:hAnsi="Times New Roman" w:cs="Times New Roman"/>
          <w:sz w:val="26"/>
          <w:szCs w:val="26"/>
        </w:rPr>
        <w:t xml:space="preserve"> 2016. Some commercial joint stock banks have canceled listing and have not published annual reports</w:t>
      </w:r>
      <w:r>
        <w:rPr>
          <w:rFonts w:ascii="Times New Roman" w:hAnsi="Times New Roman" w:cs="Times New Roman"/>
          <w:sz w:val="26"/>
          <w:szCs w:val="26"/>
        </w:rPr>
        <w:t xml:space="preserve"> due to inefficient operation and </w:t>
      </w:r>
      <w:r w:rsidR="00A343B9" w:rsidRPr="00865F7C">
        <w:rPr>
          <w:rFonts w:ascii="Times New Roman" w:hAnsi="Times New Roman" w:cs="Times New Roman"/>
          <w:sz w:val="26"/>
          <w:szCs w:val="26"/>
        </w:rPr>
        <w:t>on the restructuring list of the State Bank. Therefore, the research sample is 21 commercial banks are currently operating and have published the annual report in 2016 as listed in Table 1 below.</w:t>
      </w:r>
    </w:p>
    <w:p w:rsidR="00A343B9" w:rsidRPr="00865F7C" w:rsidRDefault="005E6FD7" w:rsidP="005E6FD7">
      <w:pPr>
        <w:pStyle w:val="BodyText"/>
        <w:spacing w:before="120" w:line="360" w:lineRule="auto"/>
        <w:ind w:right="-18" w:firstLine="547"/>
        <w:jc w:val="center"/>
        <w:rPr>
          <w:sz w:val="26"/>
          <w:szCs w:val="26"/>
          <w:lang w:bidi="ar-SA"/>
        </w:rPr>
      </w:pPr>
      <w:r>
        <w:rPr>
          <w:sz w:val="26"/>
          <w:szCs w:val="26"/>
          <w:lang w:bidi="ar-SA"/>
        </w:rPr>
        <w:t>TABLE</w:t>
      </w:r>
      <w:r w:rsidR="00C07E29">
        <w:rPr>
          <w:sz w:val="26"/>
          <w:szCs w:val="26"/>
          <w:lang w:bidi="ar-SA"/>
        </w:rPr>
        <w:t xml:space="preserve"> 1 </w:t>
      </w:r>
      <w:r w:rsidR="00DA3F07">
        <w:rPr>
          <w:sz w:val="26"/>
          <w:szCs w:val="26"/>
          <w:lang w:bidi="ar-SA"/>
        </w:rPr>
        <w:t>–</w:t>
      </w:r>
      <w:r>
        <w:rPr>
          <w:sz w:val="26"/>
          <w:szCs w:val="26"/>
          <w:lang w:bidi="ar-SA"/>
        </w:rPr>
        <w:t xml:space="preserve"> </w:t>
      </w:r>
      <w:r w:rsidR="00C07E29" w:rsidRPr="00C07E29">
        <w:rPr>
          <w:sz w:val="26"/>
          <w:szCs w:val="26"/>
          <w:lang w:bidi="ar-SA"/>
        </w:rPr>
        <w:t>S</w:t>
      </w:r>
      <w:r w:rsidR="00DA3F07">
        <w:rPr>
          <w:sz w:val="26"/>
          <w:szCs w:val="26"/>
          <w:lang w:bidi="ar-SA"/>
        </w:rPr>
        <w:t xml:space="preserve">ummary information about commercial banks in Vietnam </w:t>
      </w:r>
    </w:p>
    <w:tbl>
      <w:tblPr>
        <w:tblW w:w="9043"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4"/>
        <w:gridCol w:w="4441"/>
        <w:gridCol w:w="1238"/>
        <w:gridCol w:w="1159"/>
        <w:gridCol w:w="1741"/>
      </w:tblGrid>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C07E29" w:rsidP="003444CF">
            <w:pPr>
              <w:spacing w:after="0" w:line="240" w:lineRule="auto"/>
              <w:ind w:left="167" w:hanging="187"/>
              <w:jc w:val="center"/>
              <w:rPr>
                <w:rFonts w:eastAsia="Times New Roman" w:cs="Times New Roman"/>
                <w:sz w:val="26"/>
                <w:szCs w:val="26"/>
              </w:rPr>
            </w:pPr>
            <w:r>
              <w:rPr>
                <w:rFonts w:eastAsia="Times New Roman" w:cs="Times New Roman"/>
                <w:sz w:val="26"/>
                <w:szCs w:val="26"/>
              </w:rPr>
              <w:t>Name of Bank</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C07E29" w:rsidP="003444CF">
            <w:pPr>
              <w:spacing w:after="0" w:line="240" w:lineRule="auto"/>
              <w:ind w:left="170" w:hanging="133"/>
              <w:jc w:val="center"/>
              <w:rPr>
                <w:rFonts w:eastAsia="Times New Roman" w:cs="Times New Roman"/>
                <w:sz w:val="26"/>
                <w:szCs w:val="26"/>
              </w:rPr>
            </w:pPr>
            <w:r>
              <w:rPr>
                <w:rFonts w:eastAsia="Times New Roman" w:cs="Times New Roman"/>
                <w:sz w:val="26"/>
                <w:szCs w:val="26"/>
              </w:rPr>
              <w:t>Security Code</w:t>
            </w:r>
          </w:p>
        </w:tc>
        <w:tc>
          <w:tcPr>
            <w:tcW w:w="1159" w:type="dxa"/>
            <w:tcBorders>
              <w:top w:val="outset" w:sz="6" w:space="0" w:color="auto"/>
              <w:left w:val="outset" w:sz="6" w:space="0" w:color="auto"/>
              <w:bottom w:val="outset" w:sz="6" w:space="0" w:color="auto"/>
              <w:right w:val="outset" w:sz="6" w:space="0" w:color="auto"/>
            </w:tcBorders>
          </w:tcPr>
          <w:p w:rsidR="00A343B9" w:rsidRPr="00865F7C" w:rsidRDefault="00C07E29" w:rsidP="003444CF">
            <w:pPr>
              <w:spacing w:after="0" w:line="240" w:lineRule="auto"/>
              <w:ind w:left="192" w:hanging="155"/>
              <w:jc w:val="center"/>
              <w:rPr>
                <w:rFonts w:eastAsia="Times New Roman" w:cs="Times New Roman"/>
                <w:sz w:val="26"/>
                <w:szCs w:val="26"/>
              </w:rPr>
            </w:pPr>
            <w:r>
              <w:rPr>
                <w:rFonts w:eastAsia="Times New Roman" w:cs="Times New Roman"/>
                <w:sz w:val="26"/>
                <w:szCs w:val="26"/>
              </w:rPr>
              <w:t>Founded year</w:t>
            </w:r>
          </w:p>
        </w:tc>
        <w:tc>
          <w:tcPr>
            <w:tcW w:w="1741" w:type="dxa"/>
            <w:tcBorders>
              <w:top w:val="outset" w:sz="6" w:space="0" w:color="auto"/>
              <w:left w:val="outset" w:sz="6" w:space="0" w:color="auto"/>
              <w:bottom w:val="outset" w:sz="6" w:space="0" w:color="auto"/>
              <w:right w:val="outset" w:sz="6" w:space="0" w:color="auto"/>
            </w:tcBorders>
          </w:tcPr>
          <w:p w:rsidR="00C07E29" w:rsidRDefault="00C07E29" w:rsidP="003444CF">
            <w:pPr>
              <w:spacing w:after="0" w:line="240" w:lineRule="auto"/>
              <w:ind w:left="110" w:hanging="94"/>
              <w:jc w:val="center"/>
              <w:rPr>
                <w:rFonts w:eastAsia="Times New Roman" w:cs="Times New Roman"/>
                <w:sz w:val="26"/>
                <w:szCs w:val="26"/>
              </w:rPr>
            </w:pPr>
            <w:r>
              <w:rPr>
                <w:rFonts w:eastAsia="Times New Roman" w:cs="Times New Roman"/>
                <w:sz w:val="26"/>
                <w:szCs w:val="26"/>
              </w:rPr>
              <w:t>Chartered capital in 2017</w:t>
            </w:r>
          </w:p>
          <w:p w:rsidR="00A343B9" w:rsidRPr="00865F7C" w:rsidRDefault="00A343B9" w:rsidP="003444CF">
            <w:pPr>
              <w:spacing w:after="0" w:line="240" w:lineRule="auto"/>
              <w:ind w:left="110" w:hanging="94"/>
              <w:jc w:val="center"/>
              <w:rPr>
                <w:rFonts w:eastAsia="Times New Roman" w:cs="Times New Roman"/>
                <w:sz w:val="26"/>
                <w:szCs w:val="26"/>
              </w:rPr>
            </w:pPr>
            <w:r w:rsidRPr="00865F7C">
              <w:rPr>
                <w:rFonts w:eastAsia="Times New Roman" w:cs="Times New Roman"/>
                <w:sz w:val="26"/>
                <w:szCs w:val="26"/>
              </w:rPr>
              <w:t>(</w:t>
            </w:r>
            <w:r w:rsidR="00CD4DF0">
              <w:rPr>
                <w:rFonts w:eastAsia="Times New Roman" w:cs="Times New Roman"/>
                <w:sz w:val="26"/>
                <w:szCs w:val="26"/>
              </w:rPr>
              <w:t>billion</w:t>
            </w:r>
            <w:r w:rsidR="00C07E29">
              <w:rPr>
                <w:rFonts w:eastAsia="Times New Roman" w:cs="Times New Roman"/>
                <w:sz w:val="26"/>
                <w:szCs w:val="26"/>
              </w:rPr>
              <w:t xml:space="preserve"> VND</w:t>
            </w:r>
            <w:r w:rsidRPr="00865F7C">
              <w:rPr>
                <w:rFonts w:eastAsia="Times New Roman" w:cs="Times New Roman"/>
                <w:sz w:val="26"/>
                <w:szCs w:val="26"/>
              </w:rPr>
              <w:t>)</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1</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100F82" w:rsidP="003444CF">
            <w:pPr>
              <w:spacing w:after="0" w:line="240" w:lineRule="auto"/>
              <w:ind w:left="167" w:hanging="187"/>
              <w:jc w:val="both"/>
              <w:rPr>
                <w:rFonts w:eastAsia="Times New Roman" w:cs="Times New Roman"/>
                <w:sz w:val="26"/>
                <w:szCs w:val="26"/>
              </w:rPr>
            </w:pPr>
            <w:proofErr w:type="gramStart"/>
            <w:r w:rsidRPr="003444CF">
              <w:rPr>
                <w:rFonts w:eastAsia="Times New Roman" w:cs="Times New Roman"/>
                <w:sz w:val="26"/>
                <w:szCs w:val="26"/>
              </w:rPr>
              <w:t>An</w:t>
            </w:r>
            <w:proofErr w:type="gramEnd"/>
            <w:r w:rsidRPr="003444CF">
              <w:rPr>
                <w:rFonts w:eastAsia="Times New Roman" w:cs="Times New Roman"/>
                <w:sz w:val="26"/>
                <w:szCs w:val="26"/>
              </w:rPr>
              <w:t xml:space="preserve"> Binh Bank</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ABB</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1993</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5.319</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2</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C07E29" w:rsidP="003444CF">
            <w:pPr>
              <w:spacing w:after="0" w:line="240" w:lineRule="auto"/>
              <w:ind w:left="167" w:hanging="187"/>
              <w:jc w:val="both"/>
              <w:rPr>
                <w:rFonts w:eastAsia="Times New Roman" w:cs="Times New Roman"/>
                <w:sz w:val="26"/>
                <w:szCs w:val="26"/>
              </w:rPr>
            </w:pPr>
            <w:r w:rsidRPr="003444CF">
              <w:rPr>
                <w:rFonts w:eastAsia="Times New Roman" w:cs="Times New Roman"/>
                <w:sz w:val="26"/>
                <w:szCs w:val="26"/>
              </w:rPr>
              <w:t>Asia Commercial Joint Stock Bank</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ACB</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1993</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9.376</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3</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100F82" w:rsidP="003444CF">
            <w:pPr>
              <w:spacing w:after="0" w:line="240" w:lineRule="auto"/>
              <w:ind w:left="167" w:hanging="187"/>
              <w:jc w:val="both"/>
              <w:rPr>
                <w:rFonts w:eastAsia="Times New Roman" w:cs="Times New Roman"/>
                <w:sz w:val="26"/>
                <w:szCs w:val="26"/>
              </w:rPr>
            </w:pPr>
            <w:r w:rsidRPr="003444CF">
              <w:rPr>
                <w:rFonts w:eastAsia="Times New Roman" w:cs="Times New Roman"/>
                <w:sz w:val="26"/>
                <w:szCs w:val="26"/>
              </w:rPr>
              <w:t>Bac A Bank</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BAB</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1994</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5.000</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4</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100F82" w:rsidP="003444CF">
            <w:pPr>
              <w:spacing w:after="0" w:line="240" w:lineRule="auto"/>
              <w:ind w:left="167" w:hanging="187"/>
              <w:jc w:val="both"/>
              <w:rPr>
                <w:rFonts w:eastAsia="Times New Roman" w:cs="Times New Roman"/>
                <w:sz w:val="26"/>
                <w:szCs w:val="26"/>
              </w:rPr>
            </w:pPr>
            <w:r w:rsidRPr="003444CF">
              <w:rPr>
                <w:rFonts w:eastAsia="Times New Roman" w:cs="Times New Roman"/>
                <w:sz w:val="26"/>
                <w:szCs w:val="26"/>
              </w:rPr>
              <w:t>JSC Bank for Investment and Development of Vietnam</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BID</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1957</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34.187</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5</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100F82" w:rsidP="003444CF">
            <w:pPr>
              <w:spacing w:after="0" w:line="240" w:lineRule="auto"/>
              <w:ind w:left="167" w:hanging="187"/>
              <w:jc w:val="both"/>
              <w:rPr>
                <w:rFonts w:eastAsia="Times New Roman" w:cs="Times New Roman"/>
                <w:sz w:val="26"/>
                <w:szCs w:val="26"/>
              </w:rPr>
            </w:pPr>
            <w:r w:rsidRPr="003444CF">
              <w:rPr>
                <w:rFonts w:eastAsia="Times New Roman" w:cs="Times New Roman"/>
                <w:sz w:val="26"/>
                <w:szCs w:val="26"/>
              </w:rPr>
              <w:t>Vietnam Joint Stock Commercial Bank for Industry and Trad</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CTG</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2009</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37.234</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6</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100F82" w:rsidP="003444CF">
            <w:pPr>
              <w:spacing w:after="0" w:line="240" w:lineRule="auto"/>
              <w:ind w:left="167" w:hanging="187"/>
              <w:jc w:val="both"/>
              <w:rPr>
                <w:rFonts w:eastAsia="Times New Roman" w:cs="Times New Roman"/>
                <w:sz w:val="26"/>
                <w:szCs w:val="26"/>
              </w:rPr>
            </w:pPr>
            <w:r w:rsidRPr="003444CF">
              <w:rPr>
                <w:rFonts w:eastAsia="Times New Roman" w:cs="Times New Roman"/>
                <w:sz w:val="26"/>
                <w:szCs w:val="26"/>
              </w:rPr>
              <w:t xml:space="preserve">Vietnam Joint Stock </w:t>
            </w:r>
            <w:r w:rsidR="00CD4DF0" w:rsidRPr="003444CF">
              <w:rPr>
                <w:rFonts w:eastAsia="Times New Roman" w:cs="Times New Roman"/>
                <w:sz w:val="26"/>
                <w:szCs w:val="26"/>
              </w:rPr>
              <w:t>Commercial</w:t>
            </w:r>
            <w:r w:rsidR="00CD4DF0">
              <w:rPr>
                <w:rFonts w:eastAsia="Times New Roman" w:cs="Times New Roman"/>
                <w:sz w:val="26"/>
                <w:szCs w:val="26"/>
              </w:rPr>
              <w:t xml:space="preserve"> </w:t>
            </w:r>
            <w:r w:rsidRPr="003444CF">
              <w:rPr>
                <w:rFonts w:eastAsia="Times New Roman" w:cs="Times New Roman"/>
                <w:sz w:val="26"/>
                <w:szCs w:val="26"/>
              </w:rPr>
              <w:t>Vietnam Export Import Bank</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EIB</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1992</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12.355</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7</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100F82" w:rsidP="003444CF">
            <w:pPr>
              <w:spacing w:after="0" w:line="240" w:lineRule="auto"/>
              <w:ind w:left="167" w:hanging="187"/>
              <w:jc w:val="both"/>
              <w:rPr>
                <w:rFonts w:eastAsia="Times New Roman" w:cs="Times New Roman"/>
                <w:sz w:val="26"/>
                <w:szCs w:val="26"/>
              </w:rPr>
            </w:pPr>
            <w:r w:rsidRPr="003444CF">
              <w:rPr>
                <w:rFonts w:eastAsia="Times New Roman" w:cs="Times New Roman"/>
                <w:sz w:val="26"/>
                <w:szCs w:val="26"/>
              </w:rPr>
              <w:t>Ho Chi Minh City Housing Development Bank</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HDB</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1992</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8.100</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8</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100F82" w:rsidP="003444CF">
            <w:pPr>
              <w:spacing w:after="0" w:line="240" w:lineRule="auto"/>
              <w:ind w:left="167" w:hanging="187"/>
              <w:jc w:val="both"/>
              <w:rPr>
                <w:rFonts w:eastAsia="Times New Roman" w:cs="Times New Roman"/>
                <w:sz w:val="26"/>
                <w:szCs w:val="26"/>
              </w:rPr>
            </w:pPr>
            <w:r w:rsidRPr="003444CF">
              <w:rPr>
                <w:rFonts w:eastAsia="Times New Roman" w:cs="Times New Roman"/>
                <w:sz w:val="26"/>
                <w:szCs w:val="26"/>
              </w:rPr>
              <w:t>Kien Long Commercial Joint Stock Bank</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KLB</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1995</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500</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9</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3444CF" w:rsidP="003444CF">
            <w:pPr>
              <w:spacing w:after="0" w:line="240" w:lineRule="auto"/>
              <w:ind w:left="167" w:hanging="187"/>
              <w:jc w:val="both"/>
              <w:rPr>
                <w:rFonts w:eastAsia="Times New Roman" w:cs="Times New Roman"/>
                <w:sz w:val="26"/>
                <w:szCs w:val="26"/>
              </w:rPr>
            </w:pPr>
            <w:r w:rsidRPr="003444CF">
              <w:rPr>
                <w:rFonts w:eastAsia="Times New Roman" w:cs="Times New Roman"/>
                <w:sz w:val="26"/>
                <w:szCs w:val="26"/>
              </w:rPr>
              <w:t>Joint stock commercial Lien Viet postal bank</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LPB</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2008</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6.460</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10</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100F82" w:rsidP="003444CF">
            <w:pPr>
              <w:spacing w:after="0" w:line="240" w:lineRule="auto"/>
              <w:ind w:left="167" w:hanging="187"/>
              <w:jc w:val="both"/>
              <w:rPr>
                <w:rFonts w:eastAsia="Times New Roman" w:cs="Times New Roman"/>
                <w:sz w:val="26"/>
                <w:szCs w:val="26"/>
              </w:rPr>
            </w:pPr>
            <w:r w:rsidRPr="003444CF">
              <w:rPr>
                <w:rFonts w:eastAsia="Times New Roman" w:cs="Times New Roman"/>
                <w:sz w:val="26"/>
                <w:szCs w:val="26"/>
              </w:rPr>
              <w:t>Military Commercial Joint Stock Bank</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MBB</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1994</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17.127</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11</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100F82" w:rsidP="003444CF">
            <w:pPr>
              <w:spacing w:after="0" w:line="240" w:lineRule="auto"/>
              <w:ind w:left="167" w:hanging="187"/>
              <w:jc w:val="both"/>
              <w:rPr>
                <w:rFonts w:eastAsia="Times New Roman" w:cs="Times New Roman"/>
                <w:sz w:val="26"/>
                <w:szCs w:val="26"/>
              </w:rPr>
            </w:pPr>
            <w:r w:rsidRPr="003444CF">
              <w:rPr>
                <w:rFonts w:eastAsia="Times New Roman" w:cs="Times New Roman"/>
                <w:sz w:val="26"/>
                <w:szCs w:val="26"/>
              </w:rPr>
              <w:t>Maritime Bank</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MSB</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1991</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11.750</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12</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100F82" w:rsidP="003444CF">
            <w:pPr>
              <w:spacing w:after="0" w:line="240" w:lineRule="auto"/>
              <w:ind w:left="167" w:hanging="187"/>
              <w:jc w:val="both"/>
              <w:rPr>
                <w:rFonts w:eastAsia="Times New Roman" w:cs="Times New Roman"/>
                <w:sz w:val="26"/>
                <w:szCs w:val="26"/>
              </w:rPr>
            </w:pPr>
            <w:r w:rsidRPr="003444CF">
              <w:rPr>
                <w:rFonts w:eastAsia="Times New Roman" w:cs="Times New Roman"/>
                <w:sz w:val="26"/>
                <w:szCs w:val="26"/>
              </w:rPr>
              <w:t>National Citizen Bank</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NVB</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1995</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3.010</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13</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100F82" w:rsidP="003444CF">
            <w:pPr>
              <w:spacing w:after="0" w:line="240" w:lineRule="auto"/>
              <w:ind w:left="167" w:hanging="187"/>
              <w:jc w:val="both"/>
              <w:rPr>
                <w:rFonts w:eastAsia="Times New Roman" w:cs="Times New Roman"/>
                <w:sz w:val="26"/>
                <w:szCs w:val="26"/>
              </w:rPr>
            </w:pPr>
            <w:r w:rsidRPr="003444CF">
              <w:rPr>
                <w:rFonts w:eastAsia="Times New Roman" w:cs="Times New Roman"/>
                <w:sz w:val="26"/>
                <w:szCs w:val="26"/>
              </w:rPr>
              <w:t>South East Asia Bank</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SeABank</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2002</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5.465</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14</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100F82" w:rsidP="003444CF">
            <w:pPr>
              <w:spacing w:after="0" w:line="240" w:lineRule="auto"/>
              <w:ind w:left="167" w:hanging="187"/>
              <w:jc w:val="both"/>
              <w:rPr>
                <w:rFonts w:eastAsia="Times New Roman" w:cs="Times New Roman"/>
                <w:sz w:val="26"/>
                <w:szCs w:val="26"/>
              </w:rPr>
            </w:pPr>
            <w:r w:rsidRPr="003444CF">
              <w:rPr>
                <w:rFonts w:eastAsia="Times New Roman" w:cs="Times New Roman"/>
                <w:sz w:val="26"/>
                <w:szCs w:val="26"/>
              </w:rPr>
              <w:t>Sai Gon Commercial Bank</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SGB</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1993</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3.080</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15</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100F82" w:rsidP="003444CF">
            <w:pPr>
              <w:spacing w:after="0" w:line="240" w:lineRule="auto"/>
              <w:ind w:left="167" w:hanging="187"/>
              <w:jc w:val="both"/>
              <w:rPr>
                <w:rFonts w:eastAsia="Times New Roman" w:cs="Times New Roman"/>
                <w:sz w:val="26"/>
                <w:szCs w:val="26"/>
              </w:rPr>
            </w:pPr>
            <w:r w:rsidRPr="003444CF">
              <w:rPr>
                <w:rFonts w:eastAsia="Times New Roman" w:cs="Times New Roman"/>
                <w:sz w:val="26"/>
                <w:szCs w:val="26"/>
              </w:rPr>
              <w:t>Saigon - Hanoi Commercial Joint Stock Bank</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SHB</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1993</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11.197</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16</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100F82" w:rsidP="003444CF">
            <w:pPr>
              <w:spacing w:after="0" w:line="240" w:lineRule="auto"/>
              <w:ind w:left="167" w:hanging="187"/>
              <w:jc w:val="both"/>
              <w:rPr>
                <w:rFonts w:eastAsia="Times New Roman" w:cs="Times New Roman"/>
                <w:sz w:val="26"/>
                <w:szCs w:val="26"/>
              </w:rPr>
            </w:pPr>
            <w:r w:rsidRPr="003444CF">
              <w:rPr>
                <w:rFonts w:eastAsia="Times New Roman" w:cs="Times New Roman"/>
                <w:sz w:val="26"/>
                <w:szCs w:val="26"/>
              </w:rPr>
              <w:t>Sai Gon Thuong Tin Bank</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STB</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1991</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18.852</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17</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100F82" w:rsidP="003444CF">
            <w:pPr>
              <w:spacing w:after="0" w:line="240" w:lineRule="auto"/>
              <w:ind w:left="167" w:hanging="187"/>
              <w:jc w:val="both"/>
              <w:rPr>
                <w:rFonts w:eastAsia="Times New Roman" w:cs="Times New Roman"/>
                <w:sz w:val="26"/>
                <w:szCs w:val="26"/>
              </w:rPr>
            </w:pPr>
            <w:r w:rsidRPr="003444CF">
              <w:rPr>
                <w:rFonts w:eastAsia="Times New Roman" w:cs="Times New Roman"/>
                <w:sz w:val="26"/>
                <w:szCs w:val="26"/>
              </w:rPr>
              <w:t>VietNam Technological and Commercial Joint Stock Bank</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TCB</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1993</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8.878</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18</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100F82" w:rsidP="003444CF">
            <w:pPr>
              <w:spacing w:after="0" w:line="240" w:lineRule="auto"/>
              <w:ind w:left="167" w:hanging="187"/>
              <w:jc w:val="both"/>
              <w:rPr>
                <w:rFonts w:eastAsia="Times New Roman" w:cs="Times New Roman"/>
                <w:sz w:val="26"/>
                <w:szCs w:val="26"/>
              </w:rPr>
            </w:pPr>
            <w:r w:rsidRPr="003444CF">
              <w:rPr>
                <w:rFonts w:eastAsia="Times New Roman" w:cs="Times New Roman"/>
                <w:sz w:val="26"/>
                <w:szCs w:val="26"/>
              </w:rPr>
              <w:t>Tien Phong Bank</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TPB</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2008</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5.842</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19</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100F82" w:rsidP="003444CF">
            <w:pPr>
              <w:spacing w:after="0" w:line="240" w:lineRule="auto"/>
              <w:ind w:left="167" w:hanging="187"/>
              <w:jc w:val="both"/>
              <w:rPr>
                <w:rFonts w:eastAsia="Times New Roman" w:cs="Times New Roman"/>
                <w:sz w:val="26"/>
                <w:szCs w:val="26"/>
              </w:rPr>
            </w:pPr>
            <w:r w:rsidRPr="003444CF">
              <w:rPr>
                <w:rFonts w:eastAsia="Times New Roman" w:cs="Times New Roman"/>
                <w:sz w:val="26"/>
                <w:szCs w:val="26"/>
              </w:rPr>
              <w:t>JSC Bank for Foreign Trade of Vietnam</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VCB</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2008</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35.977</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20</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100F82" w:rsidP="003444CF">
            <w:pPr>
              <w:spacing w:after="0" w:line="240" w:lineRule="auto"/>
              <w:ind w:left="167" w:hanging="187"/>
              <w:jc w:val="both"/>
              <w:rPr>
                <w:rFonts w:eastAsia="Times New Roman" w:cs="Times New Roman"/>
                <w:sz w:val="26"/>
                <w:szCs w:val="26"/>
              </w:rPr>
            </w:pPr>
            <w:r w:rsidRPr="003444CF">
              <w:rPr>
                <w:rFonts w:eastAsia="Times New Roman" w:cs="Times New Roman"/>
                <w:sz w:val="26"/>
                <w:szCs w:val="26"/>
              </w:rPr>
              <w:t>Vietnam International and Commercial Joint Stock Bank</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VIB</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1996</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5.644</w:t>
            </w:r>
          </w:p>
        </w:tc>
      </w:tr>
      <w:tr w:rsidR="00A343B9" w:rsidRPr="00865F7C" w:rsidTr="008655D0">
        <w:trPr>
          <w:jc w:val="center"/>
        </w:trPr>
        <w:tc>
          <w:tcPr>
            <w:tcW w:w="464"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center"/>
            <w:hideMark/>
          </w:tcPr>
          <w:p w:rsidR="00A343B9" w:rsidRPr="00865F7C" w:rsidRDefault="00A343B9" w:rsidP="008655D0">
            <w:pPr>
              <w:spacing w:after="0" w:line="240" w:lineRule="auto"/>
              <w:jc w:val="center"/>
              <w:rPr>
                <w:rFonts w:eastAsia="Times New Roman" w:cs="Times New Roman"/>
                <w:sz w:val="26"/>
                <w:szCs w:val="26"/>
              </w:rPr>
            </w:pPr>
            <w:r w:rsidRPr="00865F7C">
              <w:rPr>
                <w:rFonts w:eastAsia="Times New Roman" w:cs="Times New Roman"/>
                <w:sz w:val="26"/>
                <w:szCs w:val="26"/>
              </w:rPr>
              <w:t>21</w:t>
            </w:r>
          </w:p>
        </w:tc>
        <w:tc>
          <w:tcPr>
            <w:tcW w:w="4441"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100F82" w:rsidP="003444CF">
            <w:pPr>
              <w:spacing w:after="0" w:line="240" w:lineRule="auto"/>
              <w:ind w:left="167" w:hanging="187"/>
              <w:jc w:val="both"/>
              <w:rPr>
                <w:rFonts w:eastAsia="Times New Roman" w:cs="Times New Roman"/>
                <w:sz w:val="26"/>
                <w:szCs w:val="26"/>
              </w:rPr>
            </w:pPr>
            <w:r w:rsidRPr="003444CF">
              <w:rPr>
                <w:rFonts w:eastAsia="Times New Roman" w:cs="Times New Roman"/>
                <w:sz w:val="26"/>
                <w:szCs w:val="26"/>
              </w:rPr>
              <w:t>Vietnam Prosperity Bank</w:t>
            </w:r>
          </w:p>
        </w:tc>
        <w:tc>
          <w:tcPr>
            <w:tcW w:w="1238" w:type="dxa"/>
            <w:tcBorders>
              <w:top w:val="outset" w:sz="6" w:space="0" w:color="auto"/>
              <w:left w:val="outset" w:sz="6" w:space="0" w:color="auto"/>
              <w:bottom w:val="outset" w:sz="6" w:space="0" w:color="auto"/>
              <w:right w:val="outset" w:sz="6" w:space="0" w:color="auto"/>
            </w:tcBorders>
            <w:tcMar>
              <w:top w:w="54" w:type="dxa"/>
              <w:left w:w="68" w:type="dxa"/>
              <w:bottom w:w="54" w:type="dxa"/>
              <w:right w:w="136" w:type="dxa"/>
            </w:tcMar>
            <w:vAlign w:val="bottom"/>
            <w:hideMark/>
          </w:tcPr>
          <w:p w:rsidR="00A343B9" w:rsidRPr="00865F7C" w:rsidRDefault="00A343B9" w:rsidP="003444CF">
            <w:pPr>
              <w:spacing w:after="0" w:line="240" w:lineRule="auto"/>
              <w:ind w:left="170" w:hanging="133"/>
              <w:jc w:val="center"/>
              <w:rPr>
                <w:rFonts w:eastAsia="Times New Roman" w:cs="Times New Roman"/>
                <w:sz w:val="26"/>
                <w:szCs w:val="26"/>
              </w:rPr>
            </w:pPr>
            <w:r w:rsidRPr="00865F7C">
              <w:rPr>
                <w:rFonts w:eastAsia="Times New Roman" w:cs="Times New Roman"/>
                <w:sz w:val="26"/>
                <w:szCs w:val="26"/>
              </w:rPr>
              <w:t>VPB</w:t>
            </w:r>
          </w:p>
        </w:tc>
        <w:tc>
          <w:tcPr>
            <w:tcW w:w="1159"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92" w:hanging="155"/>
              <w:jc w:val="center"/>
              <w:rPr>
                <w:rFonts w:eastAsia="Times New Roman" w:cs="Times New Roman"/>
                <w:sz w:val="26"/>
                <w:szCs w:val="26"/>
              </w:rPr>
            </w:pPr>
            <w:r w:rsidRPr="00865F7C">
              <w:rPr>
                <w:rFonts w:eastAsia="Times New Roman" w:cs="Times New Roman"/>
                <w:sz w:val="26"/>
                <w:szCs w:val="26"/>
              </w:rPr>
              <w:t>2010</w:t>
            </w:r>
          </w:p>
        </w:tc>
        <w:tc>
          <w:tcPr>
            <w:tcW w:w="1741" w:type="dxa"/>
            <w:tcBorders>
              <w:top w:val="outset" w:sz="6" w:space="0" w:color="auto"/>
              <w:left w:val="outset" w:sz="6" w:space="0" w:color="auto"/>
              <w:bottom w:val="outset" w:sz="6" w:space="0" w:color="auto"/>
              <w:right w:val="outset" w:sz="6" w:space="0" w:color="auto"/>
            </w:tcBorders>
            <w:vAlign w:val="bottom"/>
          </w:tcPr>
          <w:p w:rsidR="00A343B9" w:rsidRPr="00865F7C" w:rsidRDefault="00A343B9" w:rsidP="003444CF">
            <w:pPr>
              <w:spacing w:after="0" w:line="240" w:lineRule="auto"/>
              <w:ind w:left="110"/>
              <w:jc w:val="center"/>
              <w:rPr>
                <w:rFonts w:eastAsia="Times New Roman" w:cs="Times New Roman"/>
                <w:sz w:val="26"/>
                <w:szCs w:val="26"/>
              </w:rPr>
            </w:pPr>
            <w:r w:rsidRPr="00865F7C">
              <w:rPr>
                <w:rFonts w:eastAsia="Times New Roman" w:cs="Times New Roman"/>
                <w:sz w:val="26"/>
                <w:szCs w:val="26"/>
              </w:rPr>
              <w:t>15.760</w:t>
            </w:r>
          </w:p>
        </w:tc>
      </w:tr>
    </w:tbl>
    <w:p w:rsidR="008655D0" w:rsidRPr="007C07B2" w:rsidRDefault="007C07B2" w:rsidP="00865F7C">
      <w:pPr>
        <w:pStyle w:val="HTMLPreformatted"/>
        <w:shd w:val="clear" w:color="auto" w:fill="FFFFFF"/>
        <w:spacing w:before="120" w:after="120" w:line="360" w:lineRule="auto"/>
        <w:jc w:val="both"/>
        <w:rPr>
          <w:rFonts w:ascii="Times New Roman" w:hAnsi="Times New Roman" w:cs="Times New Roman"/>
          <w:sz w:val="26"/>
          <w:szCs w:val="26"/>
          <w:lang w:val="vi-VN"/>
        </w:rPr>
      </w:pPr>
      <w:r w:rsidRPr="007C07B2">
        <w:rPr>
          <w:rFonts w:ascii="Times New Roman" w:hAnsi="Times New Roman" w:cs="Times New Roman"/>
          <w:sz w:val="26"/>
          <w:szCs w:val="26"/>
        </w:rPr>
        <w:t xml:space="preserve">In order to measure and assess the information transparency of banks, </w:t>
      </w:r>
      <w:r>
        <w:rPr>
          <w:rFonts w:ascii="Times New Roman" w:hAnsi="Times New Roman" w:cs="Times New Roman"/>
          <w:sz w:val="26"/>
          <w:szCs w:val="26"/>
        </w:rPr>
        <w:t>data</w:t>
      </w:r>
      <w:r>
        <w:rPr>
          <w:rFonts w:ascii="Times New Roman" w:hAnsi="Times New Roman" w:cs="Times New Roman"/>
          <w:sz w:val="26"/>
          <w:szCs w:val="26"/>
          <w:lang w:val="vi-VN"/>
        </w:rPr>
        <w:t xml:space="preserve"> source of this research is </w:t>
      </w:r>
      <w:r w:rsidR="00091BE3" w:rsidRPr="007C07B2">
        <w:rPr>
          <w:rFonts w:ascii="Times New Roman" w:hAnsi="Times New Roman" w:cs="Times New Roman"/>
          <w:sz w:val="26"/>
          <w:szCs w:val="26"/>
        </w:rPr>
        <w:t xml:space="preserve">the </w:t>
      </w:r>
      <w:r w:rsidR="00091BE3">
        <w:rPr>
          <w:rFonts w:ascii="Times New Roman" w:hAnsi="Times New Roman" w:cs="Times New Roman"/>
          <w:sz w:val="26"/>
          <w:szCs w:val="26"/>
          <w:lang w:val="vi-VN"/>
        </w:rPr>
        <w:t>2016</w:t>
      </w:r>
      <w:r>
        <w:rPr>
          <w:rFonts w:ascii="Times New Roman" w:hAnsi="Times New Roman" w:cs="Times New Roman"/>
          <w:sz w:val="26"/>
          <w:szCs w:val="26"/>
          <w:lang w:val="vi-VN"/>
        </w:rPr>
        <w:t xml:space="preserve"> annual reports </w:t>
      </w:r>
      <w:r w:rsidRPr="007C07B2">
        <w:rPr>
          <w:rFonts w:ascii="Times New Roman" w:hAnsi="Times New Roman" w:cs="Times New Roman"/>
          <w:sz w:val="26"/>
          <w:szCs w:val="26"/>
        </w:rPr>
        <w:t xml:space="preserve">of </w:t>
      </w:r>
      <w:r w:rsidR="00E343F5">
        <w:rPr>
          <w:rFonts w:ascii="Times New Roman" w:hAnsi="Times New Roman" w:cs="Times New Roman"/>
          <w:sz w:val="26"/>
          <w:szCs w:val="26"/>
        </w:rPr>
        <w:t>the</w:t>
      </w:r>
      <w:r w:rsidR="00E343F5">
        <w:rPr>
          <w:rFonts w:ascii="Times New Roman" w:hAnsi="Times New Roman" w:cs="Times New Roman"/>
          <w:sz w:val="26"/>
          <w:szCs w:val="26"/>
          <w:lang w:val="vi-VN"/>
        </w:rPr>
        <w:t xml:space="preserve"> commercial </w:t>
      </w:r>
      <w:r w:rsidRPr="007C07B2">
        <w:rPr>
          <w:rFonts w:ascii="Times New Roman" w:hAnsi="Times New Roman" w:cs="Times New Roman"/>
          <w:sz w:val="26"/>
          <w:szCs w:val="26"/>
        </w:rPr>
        <w:t>banks in the research sample.</w:t>
      </w:r>
      <w:r>
        <w:rPr>
          <w:rFonts w:ascii="Times New Roman" w:hAnsi="Times New Roman" w:cs="Times New Roman"/>
          <w:sz w:val="26"/>
          <w:szCs w:val="26"/>
          <w:lang w:val="vi-VN"/>
        </w:rPr>
        <w:t xml:space="preserve"> </w:t>
      </w:r>
      <w:r w:rsidRPr="007C07B2">
        <w:rPr>
          <w:rFonts w:ascii="Times New Roman" w:hAnsi="Times New Roman" w:cs="Times New Roman"/>
          <w:sz w:val="26"/>
          <w:szCs w:val="26"/>
          <w:lang w:val="vi-VN"/>
        </w:rPr>
        <w:t xml:space="preserve">These annual reports are officially published on the </w:t>
      </w:r>
      <w:r w:rsidR="00091BE3">
        <w:rPr>
          <w:rFonts w:ascii="Times New Roman" w:hAnsi="Times New Roman" w:cs="Times New Roman"/>
          <w:sz w:val="26"/>
          <w:szCs w:val="26"/>
          <w:lang w:val="vi-VN"/>
        </w:rPr>
        <w:t xml:space="preserve">their </w:t>
      </w:r>
      <w:r w:rsidRPr="007C07B2">
        <w:rPr>
          <w:rFonts w:ascii="Times New Roman" w:hAnsi="Times New Roman" w:cs="Times New Roman"/>
          <w:sz w:val="26"/>
          <w:szCs w:val="26"/>
          <w:lang w:val="vi-VN"/>
        </w:rPr>
        <w:t>websites</w:t>
      </w:r>
      <w:r w:rsidR="00091BE3">
        <w:rPr>
          <w:rFonts w:ascii="Times New Roman" w:hAnsi="Times New Roman" w:cs="Times New Roman"/>
          <w:sz w:val="26"/>
          <w:szCs w:val="26"/>
          <w:lang w:val="vi-VN"/>
        </w:rPr>
        <w:t>.</w:t>
      </w:r>
    </w:p>
    <w:p w:rsidR="008655D0" w:rsidRPr="008655D0" w:rsidRDefault="006F4EC9" w:rsidP="00865F7C">
      <w:pPr>
        <w:pStyle w:val="HTMLPreformatted"/>
        <w:shd w:val="clear" w:color="auto" w:fill="FFFFFF"/>
        <w:spacing w:before="120" w:after="120" w:line="360" w:lineRule="auto"/>
        <w:jc w:val="both"/>
        <w:rPr>
          <w:rFonts w:ascii="Times New Roman" w:hAnsi="Times New Roman" w:cs="Times New Roman"/>
          <w:i/>
          <w:sz w:val="26"/>
          <w:szCs w:val="26"/>
        </w:rPr>
      </w:pPr>
      <w:r>
        <w:rPr>
          <w:rFonts w:ascii="Times New Roman" w:hAnsi="Times New Roman" w:cs="Times New Roman"/>
          <w:i/>
          <w:sz w:val="26"/>
          <w:szCs w:val="26"/>
        </w:rPr>
        <w:lastRenderedPageBreak/>
        <w:t>3.2 List of V</w:t>
      </w:r>
      <w:r w:rsidR="00A343B9" w:rsidRPr="008655D0">
        <w:rPr>
          <w:rFonts w:ascii="Times New Roman" w:hAnsi="Times New Roman" w:cs="Times New Roman"/>
          <w:i/>
          <w:sz w:val="26"/>
          <w:szCs w:val="26"/>
        </w:rPr>
        <w:t>oluntary Information Items</w:t>
      </w:r>
    </w:p>
    <w:p w:rsidR="00A343B9" w:rsidRPr="00865F7C" w:rsidRDefault="00A343B9" w:rsidP="00865F7C">
      <w:pPr>
        <w:pStyle w:val="HTMLPreformatted"/>
        <w:shd w:val="clear" w:color="auto" w:fill="FFFFFF"/>
        <w:spacing w:before="120" w:after="120" w:line="360" w:lineRule="auto"/>
        <w:jc w:val="both"/>
        <w:rPr>
          <w:rFonts w:ascii="Times New Roman" w:hAnsi="Times New Roman" w:cs="Times New Roman"/>
          <w:sz w:val="26"/>
          <w:szCs w:val="26"/>
        </w:rPr>
      </w:pPr>
      <w:r w:rsidRPr="00865F7C">
        <w:rPr>
          <w:rFonts w:ascii="Times New Roman" w:hAnsi="Times New Roman" w:cs="Times New Roman"/>
          <w:sz w:val="26"/>
          <w:szCs w:val="26"/>
        </w:rPr>
        <w:t xml:space="preserve">The list of voluntary information sections below is compiled from Hawashi (2014), Rashid and Aikaeli (2015) </w:t>
      </w:r>
      <w:r w:rsidR="006F4EC9">
        <w:rPr>
          <w:rFonts w:ascii="Times New Roman" w:hAnsi="Times New Roman" w:cs="Times New Roman"/>
          <w:sz w:val="26"/>
          <w:szCs w:val="26"/>
        </w:rPr>
        <w:t>and Khan and Abera (2016). The voluntary i</w:t>
      </w:r>
      <w:r w:rsidRPr="00865F7C">
        <w:rPr>
          <w:rFonts w:ascii="Times New Roman" w:hAnsi="Times New Roman" w:cs="Times New Roman"/>
          <w:sz w:val="26"/>
          <w:szCs w:val="26"/>
        </w:rPr>
        <w:t xml:space="preserve">nformation </w:t>
      </w:r>
      <w:r w:rsidR="006F4EC9">
        <w:rPr>
          <w:rFonts w:ascii="Times New Roman" w:hAnsi="Times New Roman" w:cs="Times New Roman"/>
          <w:sz w:val="26"/>
          <w:szCs w:val="26"/>
        </w:rPr>
        <w:t>i</w:t>
      </w:r>
      <w:r w:rsidRPr="00865F7C">
        <w:rPr>
          <w:rFonts w:ascii="Times New Roman" w:hAnsi="Times New Roman" w:cs="Times New Roman"/>
          <w:sz w:val="26"/>
          <w:szCs w:val="26"/>
        </w:rPr>
        <w:t>ndex is divided into four main categories of information: general information</w:t>
      </w:r>
      <w:r w:rsidR="006F4EC9">
        <w:rPr>
          <w:rFonts w:ascii="Times New Roman" w:hAnsi="Times New Roman" w:cs="Times New Roman"/>
          <w:sz w:val="26"/>
          <w:szCs w:val="26"/>
        </w:rPr>
        <w:t xml:space="preserve"> about commercial banks</w:t>
      </w:r>
      <w:r w:rsidRPr="00865F7C">
        <w:rPr>
          <w:rFonts w:ascii="Times New Roman" w:hAnsi="Times New Roman" w:cs="Times New Roman"/>
          <w:sz w:val="26"/>
          <w:szCs w:val="26"/>
        </w:rPr>
        <w:t xml:space="preserve">, social responsibility information, bank governance information, and financial information. The table below presents a list of 31 voluntary information </w:t>
      </w:r>
      <w:r w:rsidR="00CD4DF0">
        <w:rPr>
          <w:rFonts w:ascii="Times New Roman" w:hAnsi="Times New Roman" w:cs="Times New Roman"/>
          <w:sz w:val="26"/>
          <w:szCs w:val="26"/>
        </w:rPr>
        <w:t xml:space="preserve">items </w:t>
      </w:r>
      <w:r w:rsidRPr="00865F7C">
        <w:rPr>
          <w:rFonts w:ascii="Times New Roman" w:hAnsi="Times New Roman" w:cs="Times New Roman"/>
          <w:sz w:val="26"/>
          <w:szCs w:val="26"/>
        </w:rPr>
        <w:t xml:space="preserve">that </w:t>
      </w:r>
      <w:r w:rsidR="00CD4DF0">
        <w:rPr>
          <w:rFonts w:ascii="Times New Roman" w:hAnsi="Times New Roman" w:cs="Times New Roman"/>
          <w:sz w:val="26"/>
          <w:szCs w:val="26"/>
        </w:rPr>
        <w:t>are</w:t>
      </w:r>
      <w:r w:rsidRPr="00865F7C">
        <w:rPr>
          <w:rFonts w:ascii="Times New Roman" w:hAnsi="Times New Roman" w:cs="Times New Roman"/>
          <w:sz w:val="26"/>
          <w:szCs w:val="26"/>
        </w:rPr>
        <w:t xml:space="preserve"> usually published in the bank's annual report.</w:t>
      </w:r>
    </w:p>
    <w:p w:rsidR="00A343B9" w:rsidRDefault="006F4EC9" w:rsidP="00967665">
      <w:pPr>
        <w:pStyle w:val="BodyText"/>
        <w:spacing w:before="120" w:line="360" w:lineRule="auto"/>
        <w:ind w:right="-18"/>
        <w:jc w:val="center"/>
        <w:rPr>
          <w:sz w:val="26"/>
          <w:szCs w:val="26"/>
          <w:lang w:bidi="ar-SA"/>
        </w:rPr>
      </w:pPr>
      <w:r>
        <w:rPr>
          <w:sz w:val="26"/>
          <w:szCs w:val="26"/>
          <w:lang w:bidi="ar-SA"/>
        </w:rPr>
        <w:t>TABLE 2 – L</w:t>
      </w:r>
      <w:r w:rsidR="00DA3F07">
        <w:rPr>
          <w:sz w:val="26"/>
          <w:szCs w:val="26"/>
          <w:lang w:bidi="ar-SA"/>
        </w:rPr>
        <w:t>ist of volunta</w:t>
      </w:r>
      <w:r w:rsidR="00167DCE">
        <w:rPr>
          <w:sz w:val="26"/>
          <w:szCs w:val="26"/>
          <w:lang w:bidi="ar-SA"/>
        </w:rPr>
        <w:t>r</w:t>
      </w:r>
      <w:r w:rsidR="00DA3F07">
        <w:rPr>
          <w:sz w:val="26"/>
          <w:szCs w:val="26"/>
          <w:lang w:bidi="ar-SA"/>
        </w:rPr>
        <w:t>y information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246"/>
      </w:tblGrid>
      <w:tr w:rsidR="00A343B9" w:rsidRPr="00865F7C" w:rsidTr="00317931">
        <w:tc>
          <w:tcPr>
            <w:tcW w:w="2808" w:type="dxa"/>
            <w:vAlign w:val="center"/>
          </w:tcPr>
          <w:p w:rsidR="00A343B9" w:rsidRPr="00865F7C" w:rsidRDefault="008655D0" w:rsidP="006F4EC9">
            <w:pPr>
              <w:pStyle w:val="BodyText"/>
              <w:spacing w:before="120"/>
              <w:ind w:right="-18"/>
              <w:rPr>
                <w:sz w:val="26"/>
                <w:szCs w:val="26"/>
                <w:lang w:bidi="ar-SA"/>
              </w:rPr>
            </w:pPr>
            <w:r>
              <w:rPr>
                <w:sz w:val="26"/>
                <w:szCs w:val="26"/>
                <w:lang w:bidi="ar-SA"/>
              </w:rPr>
              <w:t xml:space="preserve">A. </w:t>
            </w:r>
            <w:r w:rsidRPr="008655D0">
              <w:rPr>
                <w:sz w:val="26"/>
                <w:szCs w:val="26"/>
                <w:lang w:bidi="ar-SA"/>
              </w:rPr>
              <w:t>General information about commercial banks</w:t>
            </w:r>
            <w:r w:rsidRPr="00865F7C">
              <w:rPr>
                <w:sz w:val="26"/>
                <w:szCs w:val="26"/>
                <w:lang w:bidi="ar-SA"/>
              </w:rPr>
              <w:t xml:space="preserve"> </w:t>
            </w:r>
          </w:p>
        </w:tc>
        <w:tc>
          <w:tcPr>
            <w:tcW w:w="6390" w:type="dxa"/>
          </w:tcPr>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a1. A brief description of the bank</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a2. Describe the main services of the bank</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a3. Address, telephone, fax of the bank</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a4. Date and bank establishment information</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 xml:space="preserve">a5. List of branches and </w:t>
            </w:r>
            <w:r w:rsidR="006F4EC9">
              <w:rPr>
                <w:sz w:val="26"/>
                <w:szCs w:val="26"/>
                <w:lang w:bidi="ar-SA"/>
              </w:rPr>
              <w:t xml:space="preserve">their </w:t>
            </w:r>
            <w:r w:rsidRPr="008655D0">
              <w:rPr>
                <w:sz w:val="26"/>
                <w:szCs w:val="26"/>
                <w:lang w:bidi="ar-SA"/>
              </w:rPr>
              <w:t>locations</w:t>
            </w:r>
          </w:p>
          <w:p w:rsidR="00A343B9" w:rsidRPr="00865F7C" w:rsidRDefault="008655D0" w:rsidP="006F4EC9">
            <w:pPr>
              <w:pStyle w:val="BodyText"/>
              <w:spacing w:before="120"/>
              <w:ind w:right="-18" w:firstLine="72"/>
              <w:jc w:val="both"/>
              <w:rPr>
                <w:sz w:val="26"/>
                <w:szCs w:val="26"/>
              </w:rPr>
            </w:pPr>
            <w:r w:rsidRPr="008655D0">
              <w:rPr>
                <w:sz w:val="26"/>
                <w:szCs w:val="26"/>
                <w:lang w:bidi="ar-SA"/>
              </w:rPr>
              <w:t>a6. General outlook on business</w:t>
            </w:r>
          </w:p>
        </w:tc>
      </w:tr>
      <w:tr w:rsidR="00A343B9" w:rsidRPr="00865F7C" w:rsidTr="00317931">
        <w:tc>
          <w:tcPr>
            <w:tcW w:w="2808" w:type="dxa"/>
            <w:vAlign w:val="center"/>
          </w:tcPr>
          <w:p w:rsidR="00A343B9" w:rsidRPr="00865F7C" w:rsidRDefault="008655D0" w:rsidP="006F4EC9">
            <w:pPr>
              <w:pStyle w:val="BodyText"/>
              <w:spacing w:before="120"/>
              <w:ind w:right="-18"/>
              <w:rPr>
                <w:sz w:val="26"/>
                <w:szCs w:val="26"/>
                <w:lang w:bidi="ar-SA"/>
              </w:rPr>
            </w:pPr>
            <w:r>
              <w:rPr>
                <w:sz w:val="26"/>
                <w:szCs w:val="26"/>
                <w:lang w:bidi="ar-SA"/>
              </w:rPr>
              <w:t xml:space="preserve">B. </w:t>
            </w:r>
            <w:r w:rsidRPr="008655D0">
              <w:rPr>
                <w:sz w:val="26"/>
                <w:szCs w:val="26"/>
                <w:lang w:bidi="ar-SA"/>
              </w:rPr>
              <w:t>Social Responsibility Information</w:t>
            </w:r>
            <w:r w:rsidRPr="00865F7C">
              <w:rPr>
                <w:sz w:val="26"/>
                <w:szCs w:val="26"/>
                <w:lang w:bidi="ar-SA"/>
              </w:rPr>
              <w:t xml:space="preserve"> </w:t>
            </w:r>
          </w:p>
        </w:tc>
        <w:tc>
          <w:tcPr>
            <w:tcW w:w="6390" w:type="dxa"/>
          </w:tcPr>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b7. Funding for health and sports</w:t>
            </w:r>
            <w:r w:rsidR="006F4EC9">
              <w:rPr>
                <w:sz w:val="26"/>
                <w:szCs w:val="26"/>
                <w:lang w:bidi="ar-SA"/>
              </w:rPr>
              <w:t xml:space="preserve"> activities</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b8. Information about charity</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b9. Support for national awards and government activities</w:t>
            </w:r>
          </w:p>
          <w:p w:rsidR="00A343B9" w:rsidRPr="00865F7C" w:rsidRDefault="008655D0" w:rsidP="006F4EC9">
            <w:pPr>
              <w:spacing w:before="120" w:after="0" w:line="240" w:lineRule="auto"/>
              <w:ind w:firstLine="72"/>
              <w:jc w:val="both"/>
              <w:rPr>
                <w:rFonts w:eastAsia="Times New Roman" w:cs="Times New Roman"/>
                <w:sz w:val="26"/>
                <w:szCs w:val="26"/>
              </w:rPr>
            </w:pPr>
            <w:r w:rsidRPr="008655D0">
              <w:rPr>
                <w:sz w:val="26"/>
                <w:szCs w:val="26"/>
              </w:rPr>
              <w:t>b10. Information on social activities of the bank</w:t>
            </w:r>
          </w:p>
        </w:tc>
      </w:tr>
      <w:tr w:rsidR="00A343B9" w:rsidRPr="00865F7C" w:rsidTr="00317931">
        <w:tc>
          <w:tcPr>
            <w:tcW w:w="2808" w:type="dxa"/>
            <w:vAlign w:val="center"/>
          </w:tcPr>
          <w:p w:rsidR="008655D0" w:rsidRPr="008655D0" w:rsidRDefault="008655D0" w:rsidP="006F4EC9">
            <w:pPr>
              <w:pStyle w:val="BodyText"/>
              <w:spacing w:before="120"/>
              <w:ind w:right="-18"/>
              <w:rPr>
                <w:sz w:val="26"/>
                <w:szCs w:val="26"/>
                <w:lang w:bidi="ar-SA"/>
              </w:rPr>
            </w:pPr>
            <w:r w:rsidRPr="008655D0">
              <w:rPr>
                <w:sz w:val="26"/>
                <w:szCs w:val="26"/>
                <w:lang w:bidi="ar-SA"/>
              </w:rPr>
              <w:t>C. Information on corporate governance</w:t>
            </w:r>
          </w:p>
          <w:p w:rsidR="00A343B9" w:rsidRPr="00865F7C" w:rsidRDefault="00A343B9" w:rsidP="006F4EC9">
            <w:pPr>
              <w:pStyle w:val="BodyText"/>
              <w:spacing w:before="120"/>
              <w:ind w:right="-18" w:hanging="90"/>
              <w:rPr>
                <w:sz w:val="26"/>
                <w:szCs w:val="26"/>
                <w:lang w:bidi="ar-SA"/>
              </w:rPr>
            </w:pPr>
          </w:p>
        </w:tc>
        <w:tc>
          <w:tcPr>
            <w:tcW w:w="6390" w:type="dxa"/>
          </w:tcPr>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c11. List of board members</w:t>
            </w:r>
          </w:p>
          <w:p w:rsidR="008655D0" w:rsidRPr="008655D0" w:rsidRDefault="008655D0" w:rsidP="00392AE6">
            <w:pPr>
              <w:pStyle w:val="BodyText"/>
              <w:spacing w:before="120"/>
              <w:ind w:left="522" w:right="-18" w:hanging="450"/>
              <w:jc w:val="both"/>
              <w:rPr>
                <w:sz w:val="26"/>
                <w:szCs w:val="26"/>
                <w:lang w:bidi="ar-SA"/>
              </w:rPr>
            </w:pPr>
            <w:r w:rsidRPr="008655D0">
              <w:rPr>
                <w:sz w:val="26"/>
                <w:szCs w:val="26"/>
                <w:lang w:bidi="ar-SA"/>
              </w:rPr>
              <w:t>c12. Disclose information about the qualifications and experience of the Board members</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c13. The duties of the Board members</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c14. List of senior managers (non-board members)</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c15. Information on the qualifications and experience of managers</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c16. Pictures of the board members</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c17. Pictures of senior bank managers</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c18. Number and attendance list of Board meetings</w:t>
            </w:r>
          </w:p>
          <w:p w:rsidR="00A343B9" w:rsidRPr="00865F7C" w:rsidRDefault="008655D0" w:rsidP="00392AE6">
            <w:pPr>
              <w:pStyle w:val="BodyText"/>
              <w:spacing w:before="120"/>
              <w:ind w:right="-18" w:firstLine="72"/>
              <w:jc w:val="both"/>
              <w:rPr>
                <w:sz w:val="26"/>
                <w:szCs w:val="26"/>
              </w:rPr>
            </w:pPr>
            <w:r w:rsidRPr="008655D0">
              <w:rPr>
                <w:sz w:val="26"/>
                <w:szCs w:val="26"/>
                <w:lang w:bidi="ar-SA"/>
              </w:rPr>
              <w:t>c19. A list of the audit committee of the bank</w:t>
            </w:r>
          </w:p>
        </w:tc>
      </w:tr>
      <w:tr w:rsidR="00A343B9" w:rsidRPr="00865F7C" w:rsidTr="00317931">
        <w:tc>
          <w:tcPr>
            <w:tcW w:w="2808" w:type="dxa"/>
            <w:vAlign w:val="center"/>
          </w:tcPr>
          <w:p w:rsidR="008655D0" w:rsidRPr="008655D0" w:rsidRDefault="008655D0" w:rsidP="006F4EC9">
            <w:pPr>
              <w:pStyle w:val="BodyText"/>
              <w:spacing w:before="120"/>
              <w:ind w:right="-18"/>
              <w:rPr>
                <w:sz w:val="26"/>
                <w:szCs w:val="26"/>
                <w:lang w:bidi="ar-SA"/>
              </w:rPr>
            </w:pPr>
            <w:r>
              <w:rPr>
                <w:sz w:val="26"/>
                <w:szCs w:val="26"/>
                <w:lang w:bidi="ar-SA"/>
              </w:rPr>
              <w:t xml:space="preserve">D. </w:t>
            </w:r>
            <w:r w:rsidRPr="008655D0">
              <w:rPr>
                <w:sz w:val="26"/>
                <w:szCs w:val="26"/>
                <w:lang w:bidi="ar-SA"/>
              </w:rPr>
              <w:t>Financial indicators and statistical information</w:t>
            </w:r>
          </w:p>
          <w:p w:rsidR="00A343B9" w:rsidRPr="00865F7C" w:rsidRDefault="00A343B9" w:rsidP="006F4EC9">
            <w:pPr>
              <w:spacing w:before="120" w:after="0" w:line="240" w:lineRule="auto"/>
              <w:ind w:hanging="90"/>
              <w:jc w:val="both"/>
              <w:rPr>
                <w:rFonts w:eastAsia="Times New Roman" w:cs="Times New Roman"/>
                <w:sz w:val="26"/>
                <w:szCs w:val="26"/>
              </w:rPr>
            </w:pPr>
          </w:p>
        </w:tc>
        <w:tc>
          <w:tcPr>
            <w:tcW w:w="6390" w:type="dxa"/>
          </w:tcPr>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d20. Briefly discuss the performance of the bank</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d21. The results of the last five years</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d22. Graphic information</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lastRenderedPageBreak/>
              <w:t>d23. Profitability of ROA assets</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d24. ROE</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d25. Liquidity ratio</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d26. Earnings per share</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d27. Capital adequacy ratio</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 xml:space="preserve">d28. Rate of loans on deposits </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d29. Total dividends</w:t>
            </w:r>
          </w:p>
          <w:p w:rsidR="008655D0" w:rsidRPr="008655D0" w:rsidRDefault="008655D0" w:rsidP="006F4EC9">
            <w:pPr>
              <w:pStyle w:val="BodyText"/>
              <w:spacing w:before="120"/>
              <w:ind w:right="-18" w:firstLine="72"/>
              <w:jc w:val="both"/>
              <w:rPr>
                <w:sz w:val="26"/>
                <w:szCs w:val="26"/>
                <w:lang w:bidi="ar-SA"/>
              </w:rPr>
            </w:pPr>
            <w:r w:rsidRPr="008655D0">
              <w:rPr>
                <w:sz w:val="26"/>
                <w:szCs w:val="26"/>
                <w:lang w:bidi="ar-SA"/>
              </w:rPr>
              <w:t xml:space="preserve">d30. </w:t>
            </w:r>
            <w:r w:rsidR="00392AE6">
              <w:rPr>
                <w:sz w:val="26"/>
                <w:szCs w:val="26"/>
                <w:lang w:bidi="ar-SA"/>
              </w:rPr>
              <w:t>Dividend per share</w:t>
            </w:r>
          </w:p>
          <w:p w:rsidR="00A343B9" w:rsidRPr="00865F7C" w:rsidRDefault="008655D0" w:rsidP="006F4EC9">
            <w:pPr>
              <w:pStyle w:val="BodyText"/>
              <w:spacing w:before="120"/>
              <w:ind w:right="-18" w:firstLine="72"/>
              <w:jc w:val="both"/>
              <w:rPr>
                <w:sz w:val="26"/>
                <w:szCs w:val="26"/>
              </w:rPr>
            </w:pPr>
            <w:r w:rsidRPr="008655D0">
              <w:rPr>
                <w:sz w:val="26"/>
                <w:szCs w:val="26"/>
                <w:lang w:bidi="ar-SA"/>
              </w:rPr>
              <w:t>d31. Number of branches expanded in the fiscal year</w:t>
            </w:r>
          </w:p>
        </w:tc>
      </w:tr>
    </w:tbl>
    <w:p w:rsidR="008655D0" w:rsidRDefault="008655D0" w:rsidP="00865F7C">
      <w:pPr>
        <w:pStyle w:val="HTMLPreformatted"/>
        <w:shd w:val="clear" w:color="auto" w:fill="FFFFFF"/>
        <w:spacing w:before="120" w:after="120" w:line="360" w:lineRule="auto"/>
        <w:jc w:val="both"/>
        <w:rPr>
          <w:rFonts w:ascii="Times New Roman" w:hAnsi="Times New Roman" w:cs="Times New Roman"/>
          <w:sz w:val="26"/>
          <w:szCs w:val="26"/>
        </w:rPr>
      </w:pPr>
    </w:p>
    <w:p w:rsidR="008655D0" w:rsidRPr="008655D0" w:rsidRDefault="00392AE6" w:rsidP="00865F7C">
      <w:pPr>
        <w:pStyle w:val="HTMLPreformatted"/>
        <w:shd w:val="clear" w:color="auto" w:fill="FFFFFF"/>
        <w:spacing w:before="120" w:after="120" w:line="360" w:lineRule="auto"/>
        <w:jc w:val="both"/>
        <w:rPr>
          <w:rFonts w:ascii="Times New Roman" w:hAnsi="Times New Roman" w:cs="Times New Roman"/>
          <w:i/>
          <w:sz w:val="26"/>
          <w:szCs w:val="26"/>
        </w:rPr>
      </w:pPr>
      <w:r>
        <w:rPr>
          <w:rFonts w:ascii="Times New Roman" w:hAnsi="Times New Roman" w:cs="Times New Roman"/>
          <w:i/>
          <w:sz w:val="26"/>
          <w:szCs w:val="26"/>
        </w:rPr>
        <w:t>3</w:t>
      </w:r>
      <w:r w:rsidR="00A343B9" w:rsidRPr="008655D0">
        <w:rPr>
          <w:rFonts w:ascii="Times New Roman" w:hAnsi="Times New Roman" w:cs="Times New Roman"/>
          <w:i/>
          <w:sz w:val="26"/>
          <w:szCs w:val="26"/>
        </w:rPr>
        <w:t>.3. Measur</w:t>
      </w:r>
      <w:r w:rsidR="00967665">
        <w:rPr>
          <w:rFonts w:ascii="Times New Roman" w:hAnsi="Times New Roman" w:cs="Times New Roman"/>
          <w:i/>
          <w:sz w:val="26"/>
          <w:szCs w:val="26"/>
        </w:rPr>
        <w:t>e</w:t>
      </w:r>
      <w:r w:rsidR="00A343B9" w:rsidRPr="008655D0">
        <w:rPr>
          <w:rFonts w:ascii="Times New Roman" w:hAnsi="Times New Roman" w:cs="Times New Roman"/>
          <w:i/>
          <w:sz w:val="26"/>
          <w:szCs w:val="26"/>
        </w:rPr>
        <w:t xml:space="preserve"> the level of voluntary disclosure </w:t>
      </w:r>
    </w:p>
    <w:p w:rsidR="00392AE6" w:rsidRDefault="00A343B9" w:rsidP="00865F7C">
      <w:pPr>
        <w:pStyle w:val="HTMLPreformatted"/>
        <w:shd w:val="clear" w:color="auto" w:fill="FFFFFF"/>
        <w:spacing w:before="120" w:after="120" w:line="360" w:lineRule="auto"/>
        <w:jc w:val="both"/>
        <w:rPr>
          <w:rFonts w:ascii="Times New Roman" w:hAnsi="Times New Roman" w:cs="Times New Roman"/>
          <w:sz w:val="26"/>
          <w:szCs w:val="26"/>
        </w:rPr>
      </w:pPr>
      <w:r w:rsidRPr="00865F7C">
        <w:rPr>
          <w:rFonts w:ascii="Times New Roman" w:hAnsi="Times New Roman" w:cs="Times New Roman"/>
          <w:sz w:val="26"/>
          <w:szCs w:val="26"/>
        </w:rPr>
        <w:t xml:space="preserve">The topic uses the unweighted average method with the binary rating technique (1.0) to measure the level of voluntary disclosure in the bank's annual report. The bottom-up result is the percentage of voluntary information published on the total list of voluntary information disclosed in the annual report that the bank provides to external information users. If the bank discloses voluntary information in the list of indexes, the value is 1, if not published, the value is 0. Index of information disclosure of each bank (I) is calculated according to the formula: </w:t>
      </w:r>
    </w:p>
    <w:p w:rsidR="00392AE6" w:rsidRPr="00732210" w:rsidRDefault="00392AE6" w:rsidP="00392AE6">
      <w:pPr>
        <w:pStyle w:val="BodyText"/>
        <w:spacing w:before="120" w:line="360" w:lineRule="auto"/>
        <w:ind w:right="-18"/>
        <w:jc w:val="center"/>
        <w:rPr>
          <w:sz w:val="26"/>
          <w:szCs w:val="26"/>
        </w:rPr>
      </w:pPr>
      <w:r w:rsidRPr="00732210">
        <w:rPr>
          <w:sz w:val="26"/>
          <w:szCs w:val="26"/>
        </w:rPr>
        <w:t xml:space="preserve">Ij = </w:t>
      </w:r>
      <m:oMath>
        <m:f>
          <m:fPr>
            <m:ctrlPr>
              <w:rPr>
                <w:rFonts w:ascii="Cambria Math" w:hAnsi="Cambria Math"/>
                <w:sz w:val="34"/>
                <w:szCs w:val="26"/>
              </w:rPr>
            </m:ctrlPr>
          </m:fPr>
          <m:num>
            <m:nary>
              <m:naryPr>
                <m:chr m:val="∑"/>
                <m:grow m:val="1"/>
                <m:ctrlPr>
                  <w:rPr>
                    <w:rFonts w:ascii="Cambria Math" w:hAnsi="Cambria Math"/>
                    <w:sz w:val="34"/>
                    <w:szCs w:val="26"/>
                  </w:rPr>
                </m:ctrlPr>
              </m:naryPr>
              <m:sub>
                <m:r>
                  <m:rPr>
                    <m:sty m:val="p"/>
                  </m:rPr>
                  <w:rPr>
                    <w:rFonts w:ascii="Cambria Math"/>
                    <w:sz w:val="34"/>
                    <w:szCs w:val="26"/>
                  </w:rPr>
                  <m:t>i=1</m:t>
                </m:r>
              </m:sub>
              <m:sup>
                <m:r>
                  <w:rPr>
                    <w:rFonts w:ascii="Cambria Math" w:eastAsia="Cambria Math" w:hAnsi="Cambria Math"/>
                    <w:sz w:val="34"/>
                    <w:szCs w:val="26"/>
                  </w:rPr>
                  <m:t>nj</m:t>
                </m:r>
              </m:sup>
              <m:e>
                <m:r>
                  <m:rPr>
                    <m:sty m:val="p"/>
                  </m:rPr>
                  <w:rPr>
                    <w:rFonts w:ascii="Cambria Math"/>
                    <w:sz w:val="34"/>
                    <w:szCs w:val="26"/>
                  </w:rPr>
                  <m:t>dj</m:t>
                </m:r>
              </m:e>
            </m:nary>
          </m:num>
          <m:den>
            <m:r>
              <m:rPr>
                <m:sty m:val="p"/>
              </m:rPr>
              <w:rPr>
                <w:rFonts w:ascii="Cambria Math"/>
                <w:sz w:val="34"/>
                <w:szCs w:val="26"/>
              </w:rPr>
              <m:t>nj</m:t>
            </m:r>
          </m:den>
        </m:f>
      </m:oMath>
    </w:p>
    <w:p w:rsidR="00392AE6" w:rsidRDefault="00392AE6" w:rsidP="00865F7C">
      <w:pPr>
        <w:pStyle w:val="HTMLPreformatted"/>
        <w:shd w:val="clear" w:color="auto" w:fill="FFFFFF"/>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With</w:t>
      </w:r>
      <w:r w:rsidR="00A343B9" w:rsidRPr="00865F7C">
        <w:rPr>
          <w:rFonts w:ascii="Times New Roman" w:hAnsi="Times New Roman" w:cs="Times New Roman"/>
          <w:sz w:val="26"/>
          <w:szCs w:val="26"/>
        </w:rPr>
        <w:t xml:space="preserve">, </w:t>
      </w:r>
      <w:r>
        <w:rPr>
          <w:rFonts w:ascii="Times New Roman" w:hAnsi="Times New Roman" w:cs="Times New Roman"/>
          <w:sz w:val="26"/>
          <w:szCs w:val="26"/>
        </w:rPr>
        <w:tab/>
      </w:r>
      <w:r w:rsidR="00A343B9" w:rsidRPr="00865F7C">
        <w:rPr>
          <w:rFonts w:ascii="Times New Roman" w:hAnsi="Times New Roman" w:cs="Times New Roman"/>
          <w:sz w:val="26"/>
          <w:szCs w:val="26"/>
        </w:rPr>
        <w:t>Ij is the bank's information disclosure index      </w:t>
      </w:r>
    </w:p>
    <w:p w:rsidR="00392AE6" w:rsidRDefault="00392AE6" w:rsidP="00865F7C">
      <w:pPr>
        <w:pStyle w:val="HTMLPreformatted"/>
        <w:shd w:val="clear" w:color="auto" w:fill="FFFFFF"/>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ab/>
      </w:r>
      <w:r w:rsidR="00A343B9" w:rsidRPr="00865F7C">
        <w:rPr>
          <w:rFonts w:ascii="Times New Roman" w:hAnsi="Times New Roman" w:cs="Times New Roman"/>
          <w:sz w:val="26"/>
          <w:szCs w:val="26"/>
        </w:rPr>
        <w:t xml:space="preserve">dij = 1 if the information is published, </w:t>
      </w:r>
    </w:p>
    <w:p w:rsidR="00392AE6" w:rsidRDefault="00392AE6" w:rsidP="00865F7C">
      <w:pPr>
        <w:pStyle w:val="HTMLPreformatted"/>
        <w:shd w:val="clear" w:color="auto" w:fill="FFFFFF"/>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ab/>
      </w:r>
      <w:r w:rsidR="00A343B9" w:rsidRPr="00865F7C">
        <w:rPr>
          <w:rFonts w:ascii="Times New Roman" w:hAnsi="Times New Roman" w:cs="Times New Roman"/>
          <w:sz w:val="26"/>
          <w:szCs w:val="26"/>
        </w:rPr>
        <w:t>dij = 0 if the information is not published       </w:t>
      </w:r>
    </w:p>
    <w:p w:rsidR="00392AE6" w:rsidRDefault="00392AE6" w:rsidP="00865F7C">
      <w:pPr>
        <w:pStyle w:val="HTMLPreformatted"/>
        <w:shd w:val="clear" w:color="auto" w:fill="FFFFFF"/>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ab/>
      </w:r>
      <w:r w:rsidR="00A343B9" w:rsidRPr="00865F7C">
        <w:rPr>
          <w:rFonts w:ascii="Times New Roman" w:hAnsi="Times New Roman" w:cs="Times New Roman"/>
          <w:sz w:val="26"/>
          <w:szCs w:val="26"/>
        </w:rPr>
        <w:t xml:space="preserve">n is the amount of information the company publishes (n ≤ 31) </w:t>
      </w:r>
    </w:p>
    <w:p w:rsidR="008655D0" w:rsidRPr="00967665" w:rsidRDefault="00392AE6" w:rsidP="00865F7C">
      <w:pPr>
        <w:pStyle w:val="HTMLPreformatted"/>
        <w:shd w:val="clear" w:color="auto" w:fill="FFFFFF"/>
        <w:spacing w:before="120" w:after="120" w:line="360" w:lineRule="auto"/>
        <w:jc w:val="both"/>
        <w:rPr>
          <w:rFonts w:ascii="Times New Roman" w:hAnsi="Times New Roman" w:cs="Times New Roman"/>
          <w:b/>
          <w:sz w:val="26"/>
          <w:szCs w:val="26"/>
        </w:rPr>
      </w:pPr>
      <w:r w:rsidRPr="00967665">
        <w:rPr>
          <w:rFonts w:ascii="Times New Roman" w:hAnsi="Times New Roman" w:cs="Times New Roman"/>
          <w:b/>
          <w:sz w:val="26"/>
          <w:szCs w:val="26"/>
        </w:rPr>
        <w:t>4</w:t>
      </w:r>
      <w:r w:rsidR="008655D0" w:rsidRPr="00967665">
        <w:rPr>
          <w:rFonts w:ascii="Times New Roman" w:hAnsi="Times New Roman" w:cs="Times New Roman"/>
          <w:b/>
          <w:sz w:val="26"/>
          <w:szCs w:val="26"/>
        </w:rPr>
        <w:t>. Result</w:t>
      </w:r>
      <w:r w:rsidRPr="00967665">
        <w:rPr>
          <w:rFonts w:ascii="Times New Roman" w:hAnsi="Times New Roman" w:cs="Times New Roman"/>
          <w:b/>
          <w:sz w:val="26"/>
          <w:szCs w:val="26"/>
        </w:rPr>
        <w:t>s</w:t>
      </w:r>
      <w:r w:rsidR="008655D0" w:rsidRPr="00967665">
        <w:rPr>
          <w:rFonts w:ascii="Times New Roman" w:hAnsi="Times New Roman" w:cs="Times New Roman"/>
          <w:b/>
          <w:sz w:val="26"/>
          <w:szCs w:val="26"/>
        </w:rPr>
        <w:t xml:space="preserve"> and Discussion</w:t>
      </w:r>
    </w:p>
    <w:p w:rsidR="008655D0" w:rsidRDefault="00A343B9" w:rsidP="00865F7C">
      <w:pPr>
        <w:pStyle w:val="HTMLPreformatted"/>
        <w:shd w:val="clear" w:color="auto" w:fill="FFFFFF"/>
        <w:spacing w:before="120" w:after="120" w:line="360" w:lineRule="auto"/>
        <w:jc w:val="both"/>
        <w:rPr>
          <w:rFonts w:ascii="Times New Roman" w:hAnsi="Times New Roman" w:cs="Times New Roman"/>
          <w:sz w:val="26"/>
          <w:szCs w:val="26"/>
        </w:rPr>
      </w:pPr>
      <w:r w:rsidRPr="00865F7C">
        <w:rPr>
          <w:rFonts w:ascii="Times New Roman" w:hAnsi="Times New Roman" w:cs="Times New Roman"/>
          <w:sz w:val="26"/>
          <w:szCs w:val="26"/>
        </w:rPr>
        <w:t xml:space="preserve">Voluntary disclosures on </w:t>
      </w:r>
      <w:r w:rsidR="003A2D51" w:rsidRPr="00865F7C">
        <w:rPr>
          <w:rFonts w:ascii="Times New Roman" w:hAnsi="Times New Roman" w:cs="Times New Roman"/>
          <w:sz w:val="26"/>
          <w:szCs w:val="26"/>
        </w:rPr>
        <w:t xml:space="preserve">annual reports </w:t>
      </w:r>
      <w:r w:rsidR="003A2D51">
        <w:rPr>
          <w:rFonts w:ascii="Times New Roman" w:hAnsi="Times New Roman" w:cs="Times New Roman"/>
          <w:sz w:val="26"/>
          <w:szCs w:val="26"/>
        </w:rPr>
        <w:t xml:space="preserve">of </w:t>
      </w:r>
      <w:r w:rsidRPr="00865F7C">
        <w:rPr>
          <w:rFonts w:ascii="Times New Roman" w:hAnsi="Times New Roman" w:cs="Times New Roman"/>
          <w:sz w:val="26"/>
          <w:szCs w:val="26"/>
        </w:rPr>
        <w:t>commercial banks include four main grou</w:t>
      </w:r>
      <w:r w:rsidR="003A2D51">
        <w:rPr>
          <w:rFonts w:ascii="Times New Roman" w:hAnsi="Times New Roman" w:cs="Times New Roman"/>
          <w:sz w:val="26"/>
          <w:szCs w:val="26"/>
        </w:rPr>
        <w:t>ps: general information about the bank</w:t>
      </w:r>
      <w:r w:rsidRPr="00865F7C">
        <w:rPr>
          <w:rFonts w:ascii="Times New Roman" w:hAnsi="Times New Roman" w:cs="Times New Roman"/>
          <w:sz w:val="26"/>
          <w:szCs w:val="26"/>
        </w:rPr>
        <w:t xml:space="preserve">, social responsibility information, </w:t>
      </w:r>
      <w:r w:rsidR="003A2D51">
        <w:rPr>
          <w:rFonts w:ascii="Times New Roman" w:hAnsi="Times New Roman" w:cs="Times New Roman"/>
          <w:sz w:val="26"/>
          <w:szCs w:val="26"/>
        </w:rPr>
        <w:t>corporate governance information and i</w:t>
      </w:r>
      <w:r w:rsidRPr="00865F7C">
        <w:rPr>
          <w:rFonts w:ascii="Times New Roman" w:hAnsi="Times New Roman" w:cs="Times New Roman"/>
          <w:sz w:val="26"/>
          <w:szCs w:val="26"/>
        </w:rPr>
        <w:t xml:space="preserve">nformation on financial indicators and statistics. The results of the voluntary disclosure of commercial banks in Vietnam will be analyzed </w:t>
      </w:r>
      <w:r w:rsidRPr="00865F7C">
        <w:rPr>
          <w:rFonts w:ascii="Times New Roman" w:hAnsi="Times New Roman" w:cs="Times New Roman"/>
          <w:sz w:val="26"/>
          <w:szCs w:val="26"/>
        </w:rPr>
        <w:lastRenderedPageBreak/>
        <w:t xml:space="preserve">according to the average of the whole annual report of 21 banks, and then the </w:t>
      </w:r>
      <w:r w:rsidR="003A2D51">
        <w:rPr>
          <w:rFonts w:ascii="Times New Roman" w:hAnsi="Times New Roman" w:cs="Times New Roman"/>
          <w:sz w:val="26"/>
          <w:szCs w:val="26"/>
        </w:rPr>
        <w:t>result</w:t>
      </w:r>
      <w:r w:rsidRPr="00865F7C">
        <w:rPr>
          <w:rFonts w:ascii="Times New Roman" w:hAnsi="Times New Roman" w:cs="Times New Roman"/>
          <w:sz w:val="26"/>
          <w:szCs w:val="26"/>
        </w:rPr>
        <w:t xml:space="preserve"> will be analyzed in depth. Voluntary information groups are based on the average published level of each group. </w:t>
      </w:r>
    </w:p>
    <w:p w:rsidR="00A343B9" w:rsidRPr="00865F7C" w:rsidRDefault="00A343B9" w:rsidP="00865F7C">
      <w:pPr>
        <w:pStyle w:val="HTMLPreformatted"/>
        <w:shd w:val="clear" w:color="auto" w:fill="FFFFFF"/>
        <w:spacing w:before="120" w:after="120" w:line="360" w:lineRule="auto"/>
        <w:jc w:val="both"/>
        <w:rPr>
          <w:rFonts w:ascii="Times New Roman" w:hAnsi="Times New Roman" w:cs="Times New Roman"/>
          <w:sz w:val="26"/>
          <w:szCs w:val="26"/>
        </w:rPr>
      </w:pPr>
      <w:r w:rsidRPr="00865F7C">
        <w:rPr>
          <w:rFonts w:ascii="Times New Roman" w:hAnsi="Times New Roman" w:cs="Times New Roman"/>
          <w:sz w:val="26"/>
          <w:szCs w:val="26"/>
        </w:rPr>
        <w:t xml:space="preserve">Voluntary Information Voluntary disclosure in </w:t>
      </w:r>
      <w:r w:rsidR="00CD4DF0" w:rsidRPr="00865F7C">
        <w:rPr>
          <w:rFonts w:ascii="Times New Roman" w:hAnsi="Times New Roman" w:cs="Times New Roman"/>
          <w:sz w:val="26"/>
          <w:szCs w:val="26"/>
        </w:rPr>
        <w:t>the annual</w:t>
      </w:r>
      <w:r w:rsidRPr="00865F7C">
        <w:rPr>
          <w:rFonts w:ascii="Times New Roman" w:hAnsi="Times New Roman" w:cs="Times New Roman"/>
          <w:sz w:val="26"/>
          <w:szCs w:val="26"/>
        </w:rPr>
        <w:t xml:space="preserve"> report</w:t>
      </w:r>
      <w:r w:rsidR="003A2D51">
        <w:rPr>
          <w:rFonts w:ascii="Times New Roman" w:hAnsi="Times New Roman" w:cs="Times New Roman"/>
          <w:sz w:val="26"/>
          <w:szCs w:val="26"/>
        </w:rPr>
        <w:t xml:space="preserve"> in the year 2016</w:t>
      </w:r>
      <w:r w:rsidRPr="00865F7C">
        <w:rPr>
          <w:rFonts w:ascii="Times New Roman" w:hAnsi="Times New Roman" w:cs="Times New Roman"/>
          <w:sz w:val="26"/>
          <w:szCs w:val="26"/>
        </w:rPr>
        <w:t xml:space="preserve"> of 21 commercial banks in the sample is shown in the chart below.</w:t>
      </w:r>
    </w:p>
    <w:p w:rsidR="00A343B9" w:rsidRPr="00865F7C" w:rsidRDefault="00A343B9" w:rsidP="00865F7C">
      <w:pPr>
        <w:pStyle w:val="HTMLPreformatted"/>
        <w:shd w:val="clear" w:color="auto" w:fill="FFFFFF"/>
        <w:spacing w:before="120" w:after="120" w:line="360" w:lineRule="auto"/>
        <w:jc w:val="both"/>
        <w:rPr>
          <w:rFonts w:ascii="Times New Roman" w:hAnsi="Times New Roman" w:cs="Times New Roman"/>
          <w:sz w:val="26"/>
          <w:szCs w:val="26"/>
        </w:rPr>
      </w:pPr>
      <w:r w:rsidRPr="00865F7C">
        <w:rPr>
          <w:rFonts w:ascii="Times New Roman" w:hAnsi="Times New Roman" w:cs="Times New Roman"/>
          <w:noProof/>
          <w:sz w:val="26"/>
          <w:szCs w:val="26"/>
        </w:rPr>
        <w:drawing>
          <wp:inline distT="0" distB="0" distL="0" distR="0">
            <wp:extent cx="5760720" cy="2323367"/>
            <wp:effectExtent l="19050" t="0" r="11430" b="733"/>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A2D51" w:rsidRPr="003A2D51" w:rsidRDefault="00A343B9" w:rsidP="003A2D51">
      <w:pPr>
        <w:pStyle w:val="HTMLPreformatted"/>
        <w:shd w:val="clear" w:color="auto" w:fill="FFFFFF"/>
        <w:spacing w:before="120" w:after="120" w:line="360" w:lineRule="auto"/>
        <w:jc w:val="center"/>
        <w:rPr>
          <w:rFonts w:ascii="Times New Roman" w:hAnsi="Times New Roman" w:cs="Times New Roman"/>
          <w:i/>
          <w:sz w:val="26"/>
          <w:szCs w:val="26"/>
        </w:rPr>
      </w:pPr>
      <w:r w:rsidRPr="003A2D51">
        <w:rPr>
          <w:rFonts w:ascii="Times New Roman" w:hAnsi="Times New Roman" w:cs="Times New Roman"/>
          <w:i/>
          <w:sz w:val="26"/>
          <w:szCs w:val="26"/>
        </w:rPr>
        <w:t>Chart 1</w:t>
      </w:r>
      <w:r w:rsidR="00167DCE">
        <w:rPr>
          <w:rFonts w:ascii="Times New Roman" w:hAnsi="Times New Roman" w:cs="Times New Roman"/>
          <w:i/>
          <w:sz w:val="26"/>
          <w:szCs w:val="26"/>
        </w:rPr>
        <w:t>.</w:t>
      </w:r>
      <w:r w:rsidRPr="003A2D51">
        <w:rPr>
          <w:rFonts w:ascii="Times New Roman" w:hAnsi="Times New Roman" w:cs="Times New Roman"/>
          <w:i/>
          <w:sz w:val="26"/>
          <w:szCs w:val="26"/>
        </w:rPr>
        <w:t xml:space="preserve"> </w:t>
      </w:r>
      <w:r w:rsidR="003A2D51">
        <w:rPr>
          <w:rFonts w:ascii="Times New Roman" w:hAnsi="Times New Roman" w:cs="Times New Roman"/>
          <w:i/>
          <w:sz w:val="26"/>
          <w:szCs w:val="26"/>
        </w:rPr>
        <w:t xml:space="preserve">Level </w:t>
      </w:r>
      <w:r w:rsidR="00CD4DF0">
        <w:rPr>
          <w:rFonts w:ascii="Times New Roman" w:hAnsi="Times New Roman" w:cs="Times New Roman"/>
          <w:i/>
          <w:sz w:val="26"/>
          <w:szCs w:val="26"/>
        </w:rPr>
        <w:t xml:space="preserve">of </w:t>
      </w:r>
      <w:r w:rsidR="00CD4DF0" w:rsidRPr="003A2D51">
        <w:rPr>
          <w:rFonts w:ascii="Times New Roman" w:hAnsi="Times New Roman" w:cs="Times New Roman"/>
          <w:i/>
          <w:sz w:val="26"/>
          <w:szCs w:val="26"/>
        </w:rPr>
        <w:t>voluntary</w:t>
      </w:r>
      <w:r w:rsidR="003A2D51">
        <w:rPr>
          <w:rFonts w:ascii="Times New Roman" w:hAnsi="Times New Roman" w:cs="Times New Roman"/>
          <w:i/>
          <w:sz w:val="26"/>
          <w:szCs w:val="26"/>
        </w:rPr>
        <w:t xml:space="preserve"> information </w:t>
      </w:r>
      <w:r w:rsidRPr="003A2D51">
        <w:rPr>
          <w:rFonts w:ascii="Times New Roman" w:hAnsi="Times New Roman" w:cs="Times New Roman"/>
          <w:i/>
          <w:sz w:val="26"/>
          <w:szCs w:val="26"/>
        </w:rPr>
        <w:t>disclosure of commercial banks in 2016</w:t>
      </w:r>
      <w:r w:rsidRPr="003A2D51">
        <w:rPr>
          <w:rFonts w:ascii="Times New Roman" w:hAnsi="Times New Roman" w:cs="Times New Roman"/>
          <w:i/>
          <w:sz w:val="26"/>
          <w:szCs w:val="26"/>
        </w:rPr>
        <w:br/>
      </w:r>
    </w:p>
    <w:p w:rsidR="00A343B9" w:rsidRDefault="00A343B9" w:rsidP="00865F7C">
      <w:pPr>
        <w:pStyle w:val="HTMLPreformatted"/>
        <w:shd w:val="clear" w:color="auto" w:fill="FFFFFF"/>
        <w:spacing w:before="120" w:after="120" w:line="360" w:lineRule="auto"/>
        <w:jc w:val="both"/>
        <w:rPr>
          <w:rFonts w:ascii="Times New Roman" w:hAnsi="Times New Roman" w:cs="Times New Roman"/>
          <w:sz w:val="26"/>
          <w:szCs w:val="26"/>
        </w:rPr>
      </w:pPr>
      <w:r w:rsidRPr="00865F7C">
        <w:rPr>
          <w:rFonts w:ascii="Times New Roman" w:hAnsi="Times New Roman" w:cs="Times New Roman"/>
          <w:sz w:val="26"/>
          <w:szCs w:val="26"/>
        </w:rPr>
        <w:t>The two banks with the highest level of voluntary disclosure are V</w:t>
      </w:r>
      <w:r w:rsidR="003A2D51">
        <w:rPr>
          <w:rFonts w:ascii="Times New Roman" w:hAnsi="Times New Roman" w:cs="Times New Roman"/>
          <w:sz w:val="26"/>
          <w:szCs w:val="26"/>
        </w:rPr>
        <w:t>CB</w:t>
      </w:r>
      <w:r w:rsidRPr="00865F7C">
        <w:rPr>
          <w:rFonts w:ascii="Times New Roman" w:hAnsi="Times New Roman" w:cs="Times New Roman"/>
          <w:sz w:val="26"/>
          <w:szCs w:val="26"/>
        </w:rPr>
        <w:t xml:space="preserve"> and </w:t>
      </w:r>
      <w:r w:rsidR="003A2D51">
        <w:rPr>
          <w:rFonts w:ascii="Times New Roman" w:hAnsi="Times New Roman" w:cs="Times New Roman"/>
          <w:sz w:val="26"/>
          <w:szCs w:val="26"/>
        </w:rPr>
        <w:t>CTG</w:t>
      </w:r>
      <w:r w:rsidRPr="00865F7C">
        <w:rPr>
          <w:rFonts w:ascii="Times New Roman" w:hAnsi="Times New Roman" w:cs="Times New Roman"/>
          <w:sz w:val="26"/>
          <w:szCs w:val="26"/>
        </w:rPr>
        <w:t xml:space="preserve"> with the voluntary disclosure rate of 97%. Meanwhile, SGB is the bank with the lowest rate with 23% of voluntary information published in the annual report.</w:t>
      </w:r>
    </w:p>
    <w:p w:rsidR="003A2D51" w:rsidRPr="00865F7C" w:rsidRDefault="003A2D51" w:rsidP="00865F7C">
      <w:pPr>
        <w:pStyle w:val="HTMLPreformatted"/>
        <w:shd w:val="clear" w:color="auto" w:fill="FFFFFF"/>
        <w:spacing w:before="120" w:after="120" w:line="360" w:lineRule="auto"/>
        <w:jc w:val="both"/>
        <w:rPr>
          <w:rFonts w:ascii="Times New Roman" w:hAnsi="Times New Roman" w:cs="Times New Roman"/>
          <w:sz w:val="26"/>
          <w:szCs w:val="26"/>
        </w:rPr>
      </w:pPr>
    </w:p>
    <w:p w:rsidR="00A343B9" w:rsidRPr="00865F7C" w:rsidRDefault="008143D3" w:rsidP="00865F7C">
      <w:pPr>
        <w:pStyle w:val="HTMLPreformatted"/>
        <w:shd w:val="clear" w:color="auto" w:fill="FFFFFF"/>
        <w:spacing w:before="120" w:after="120" w:line="360" w:lineRule="auto"/>
        <w:jc w:val="both"/>
        <w:rPr>
          <w:rFonts w:ascii="Times New Roman" w:hAnsi="Times New Roman" w:cs="Times New Roman"/>
          <w:sz w:val="26"/>
          <w:szCs w:val="26"/>
        </w:rPr>
      </w:pPr>
      <w:r w:rsidRPr="008143D3">
        <w:rPr>
          <w:rFonts w:ascii="Times New Roman" w:hAnsi="Times New Roman" w:cs="Times New Roman"/>
          <w:noProof/>
          <w:sz w:val="26"/>
          <w:szCs w:val="26"/>
        </w:rPr>
        <w:drawing>
          <wp:inline distT="0" distB="0" distL="0" distR="0">
            <wp:extent cx="5574228" cy="2363190"/>
            <wp:effectExtent l="19050" t="0" r="26472"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A2D51" w:rsidRPr="003A2D51" w:rsidRDefault="00A343B9" w:rsidP="003A2D51">
      <w:pPr>
        <w:pStyle w:val="HTMLPreformatted"/>
        <w:shd w:val="clear" w:color="auto" w:fill="FFFFFF"/>
        <w:spacing w:before="120" w:after="120" w:line="360" w:lineRule="auto"/>
        <w:jc w:val="center"/>
        <w:rPr>
          <w:rFonts w:ascii="Times New Roman" w:hAnsi="Times New Roman" w:cs="Times New Roman"/>
          <w:i/>
          <w:sz w:val="26"/>
          <w:szCs w:val="26"/>
        </w:rPr>
      </w:pPr>
      <w:r w:rsidRPr="003A2D51">
        <w:rPr>
          <w:rFonts w:ascii="Times New Roman" w:hAnsi="Times New Roman" w:cs="Times New Roman"/>
          <w:i/>
          <w:sz w:val="26"/>
          <w:szCs w:val="26"/>
        </w:rPr>
        <w:t>Chart 2</w:t>
      </w:r>
      <w:r w:rsidR="00167DCE">
        <w:rPr>
          <w:rFonts w:ascii="Times New Roman" w:hAnsi="Times New Roman" w:cs="Times New Roman"/>
          <w:i/>
          <w:sz w:val="26"/>
          <w:szCs w:val="26"/>
        </w:rPr>
        <w:t>.</w:t>
      </w:r>
      <w:r w:rsidRPr="003A2D51">
        <w:rPr>
          <w:rFonts w:ascii="Times New Roman" w:hAnsi="Times New Roman" w:cs="Times New Roman"/>
          <w:i/>
          <w:sz w:val="26"/>
          <w:szCs w:val="26"/>
        </w:rPr>
        <w:t xml:space="preserve"> Proportion of information disclosure by group</w:t>
      </w:r>
      <w:r w:rsidR="00967665">
        <w:rPr>
          <w:rFonts w:ascii="Times New Roman" w:hAnsi="Times New Roman" w:cs="Times New Roman"/>
          <w:i/>
          <w:sz w:val="26"/>
          <w:szCs w:val="26"/>
        </w:rPr>
        <w:t>s</w:t>
      </w:r>
    </w:p>
    <w:p w:rsidR="00CE2450" w:rsidRDefault="00A343B9" w:rsidP="00865F7C">
      <w:pPr>
        <w:pStyle w:val="HTMLPreformatted"/>
        <w:shd w:val="clear" w:color="auto" w:fill="FFFFFF"/>
        <w:spacing w:before="120" w:after="120" w:line="360" w:lineRule="auto"/>
        <w:jc w:val="both"/>
        <w:rPr>
          <w:rFonts w:ascii="Times New Roman" w:hAnsi="Times New Roman" w:cs="Times New Roman"/>
          <w:sz w:val="26"/>
          <w:szCs w:val="26"/>
        </w:rPr>
      </w:pPr>
      <w:r w:rsidRPr="00865F7C">
        <w:rPr>
          <w:rFonts w:ascii="Times New Roman" w:hAnsi="Times New Roman" w:cs="Times New Roman"/>
          <w:sz w:val="26"/>
          <w:szCs w:val="26"/>
        </w:rPr>
        <w:lastRenderedPageBreak/>
        <w:t xml:space="preserve">From the voluntary disclosure rate of each bank in the sample, the average rate of banks' disclosure of information is 65%. Of the four information groups, the </w:t>
      </w:r>
      <w:r w:rsidR="008143D3">
        <w:rPr>
          <w:rFonts w:ascii="Times New Roman" w:hAnsi="Times New Roman" w:cs="Times New Roman"/>
          <w:sz w:val="26"/>
          <w:szCs w:val="26"/>
        </w:rPr>
        <w:t xml:space="preserve">group of general information about banks is the best </w:t>
      </w:r>
      <w:r w:rsidRPr="00865F7C">
        <w:rPr>
          <w:rFonts w:ascii="Times New Roman" w:hAnsi="Times New Roman" w:cs="Times New Roman"/>
          <w:sz w:val="26"/>
          <w:szCs w:val="26"/>
        </w:rPr>
        <w:t>group</w:t>
      </w:r>
      <w:r w:rsidR="008143D3">
        <w:rPr>
          <w:rFonts w:ascii="Times New Roman" w:hAnsi="Times New Roman" w:cs="Times New Roman"/>
          <w:sz w:val="26"/>
          <w:szCs w:val="26"/>
        </w:rPr>
        <w:t xml:space="preserve"> with highest rate of</w:t>
      </w:r>
      <w:r w:rsidRPr="00865F7C">
        <w:rPr>
          <w:rFonts w:ascii="Times New Roman" w:hAnsi="Times New Roman" w:cs="Times New Roman"/>
          <w:sz w:val="26"/>
          <w:szCs w:val="26"/>
        </w:rPr>
        <w:t xml:space="preserve"> 89%. The following is a group of information on corporate governance in commercial banks with an average ratio of 72% and a group of information on financial and statistical indicators with an average published rate of 58%. The lowest is the bank's social responsibility information group with an average published rate of 30%. In order to </w:t>
      </w:r>
      <w:r w:rsidR="00CD4DF0">
        <w:rPr>
          <w:rFonts w:ascii="Times New Roman" w:hAnsi="Times New Roman" w:cs="Times New Roman"/>
          <w:sz w:val="26"/>
          <w:szCs w:val="26"/>
        </w:rPr>
        <w:t>analyze</w:t>
      </w:r>
      <w:r w:rsidRPr="00865F7C">
        <w:rPr>
          <w:rFonts w:ascii="Times New Roman" w:hAnsi="Times New Roman" w:cs="Times New Roman"/>
          <w:sz w:val="26"/>
          <w:szCs w:val="26"/>
        </w:rPr>
        <w:t xml:space="preserve"> a more detailed comparison of the disclosure level of each group of commercial banks, </w:t>
      </w:r>
      <w:r w:rsidR="00CE2450">
        <w:rPr>
          <w:rFonts w:ascii="Times New Roman" w:hAnsi="Times New Roman" w:cs="Times New Roman"/>
          <w:sz w:val="26"/>
          <w:szCs w:val="26"/>
        </w:rPr>
        <w:t>the study</w:t>
      </w:r>
      <w:r w:rsidRPr="00865F7C">
        <w:rPr>
          <w:rFonts w:ascii="Times New Roman" w:hAnsi="Times New Roman" w:cs="Times New Roman"/>
          <w:sz w:val="26"/>
          <w:szCs w:val="26"/>
        </w:rPr>
        <w:t xml:space="preserve"> will continue to analyze in more detail the rate of information disclosure by each voluntary information group including: general information on banking operations, corporate social responsibility information, corporate governance information and statistical financial information in the following sections.</w:t>
      </w:r>
    </w:p>
    <w:p w:rsidR="003E2CC9" w:rsidRPr="003E2CC9" w:rsidRDefault="003E2CC9" w:rsidP="003E2CC9">
      <w:pPr>
        <w:pStyle w:val="HTMLPreformatted"/>
        <w:shd w:val="clear" w:color="auto" w:fill="FFFFFF"/>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lang w:val="vi-VN"/>
        </w:rPr>
        <w:t>TABLE 3. Level of</w:t>
      </w:r>
      <w:r>
        <w:rPr>
          <w:rFonts w:ascii="Times New Roman" w:hAnsi="Times New Roman" w:cs="Times New Roman"/>
          <w:sz w:val="26"/>
          <w:szCs w:val="26"/>
        </w:rPr>
        <w:t xml:space="preserve"> voluntary information disclosure on annual report</w:t>
      </w:r>
    </w:p>
    <w:tbl>
      <w:tblPr>
        <w:tblStyle w:val="TableGrid"/>
        <w:tblW w:w="0" w:type="auto"/>
        <w:jc w:val="center"/>
        <w:tblLook w:val="04A0" w:firstRow="1" w:lastRow="0" w:firstColumn="1" w:lastColumn="0" w:noHBand="0" w:noVBand="1"/>
      </w:tblPr>
      <w:tblGrid>
        <w:gridCol w:w="1213"/>
        <w:gridCol w:w="857"/>
        <w:gridCol w:w="1213"/>
        <w:gridCol w:w="850"/>
        <w:gridCol w:w="1213"/>
        <w:gridCol w:w="825"/>
        <w:gridCol w:w="1213"/>
        <w:gridCol w:w="839"/>
      </w:tblGrid>
      <w:tr w:rsidR="003E2CC9" w:rsidRPr="003E2CC9" w:rsidTr="003E2CC9">
        <w:trPr>
          <w:jc w:val="center"/>
        </w:trPr>
        <w:tc>
          <w:tcPr>
            <w:tcW w:w="1878" w:type="dxa"/>
            <w:gridSpan w:val="2"/>
          </w:tcPr>
          <w:p w:rsidR="003E2CC9" w:rsidRPr="003E2CC9" w:rsidRDefault="003E2CC9" w:rsidP="003E2CC9">
            <w:pPr>
              <w:jc w:val="center"/>
              <w:rPr>
                <w:rFonts w:ascii="Times New Roman" w:hAnsi="Times New Roman" w:cs="Times New Roman"/>
                <w:sz w:val="26"/>
                <w:szCs w:val="26"/>
              </w:rPr>
            </w:pPr>
            <w:r>
              <w:rPr>
                <w:rFonts w:ascii="Times New Roman" w:hAnsi="Times New Roman" w:cs="Times New Roman"/>
                <w:sz w:val="26"/>
                <w:szCs w:val="26"/>
                <w:lang w:val="vi-VN"/>
              </w:rPr>
              <w:t>G</w:t>
            </w:r>
            <w:r w:rsidRPr="003E2CC9">
              <w:rPr>
                <w:rFonts w:ascii="Times New Roman" w:hAnsi="Times New Roman" w:cs="Times New Roman"/>
                <w:sz w:val="26"/>
                <w:szCs w:val="26"/>
              </w:rPr>
              <w:t>eneral information</w:t>
            </w:r>
          </w:p>
        </w:tc>
        <w:tc>
          <w:tcPr>
            <w:tcW w:w="1870" w:type="dxa"/>
            <w:gridSpan w:val="2"/>
          </w:tcPr>
          <w:p w:rsidR="003E2CC9" w:rsidRPr="003E2CC9" w:rsidRDefault="003E2CC9" w:rsidP="003E2CC9">
            <w:pPr>
              <w:jc w:val="center"/>
              <w:rPr>
                <w:rFonts w:ascii="Times New Roman" w:hAnsi="Times New Roman" w:cs="Times New Roman"/>
                <w:sz w:val="26"/>
                <w:szCs w:val="26"/>
              </w:rPr>
            </w:pPr>
            <w:r>
              <w:rPr>
                <w:rFonts w:ascii="Times New Roman" w:hAnsi="Times New Roman" w:cs="Times New Roman"/>
                <w:sz w:val="26"/>
                <w:szCs w:val="26"/>
                <w:lang w:val="vi-VN"/>
              </w:rPr>
              <w:t>S</w:t>
            </w:r>
            <w:r w:rsidRPr="003E2CC9">
              <w:rPr>
                <w:rFonts w:ascii="Times New Roman" w:hAnsi="Times New Roman" w:cs="Times New Roman"/>
                <w:sz w:val="26"/>
                <w:szCs w:val="26"/>
              </w:rPr>
              <w:t>ocial responsibility</w:t>
            </w:r>
          </w:p>
        </w:tc>
        <w:tc>
          <w:tcPr>
            <w:tcW w:w="1845" w:type="dxa"/>
            <w:gridSpan w:val="2"/>
          </w:tcPr>
          <w:p w:rsidR="003E2CC9" w:rsidRPr="003E2CC9" w:rsidRDefault="003E2CC9" w:rsidP="003E2CC9">
            <w:pPr>
              <w:jc w:val="center"/>
              <w:rPr>
                <w:rFonts w:ascii="Times New Roman" w:hAnsi="Times New Roman" w:cs="Times New Roman"/>
                <w:sz w:val="26"/>
                <w:szCs w:val="26"/>
              </w:rPr>
            </w:pPr>
            <w:r>
              <w:rPr>
                <w:rFonts w:ascii="Times New Roman" w:hAnsi="Times New Roman" w:cs="Times New Roman"/>
                <w:sz w:val="26"/>
                <w:szCs w:val="26"/>
                <w:lang w:val="vi-VN"/>
              </w:rPr>
              <w:t>C</w:t>
            </w:r>
            <w:r w:rsidRPr="003E2CC9">
              <w:rPr>
                <w:rFonts w:ascii="Times New Roman" w:hAnsi="Times New Roman" w:cs="Times New Roman"/>
                <w:sz w:val="26"/>
                <w:szCs w:val="26"/>
              </w:rPr>
              <w:t>orporate governance</w:t>
            </w:r>
          </w:p>
        </w:tc>
        <w:tc>
          <w:tcPr>
            <w:tcW w:w="1859" w:type="dxa"/>
            <w:gridSpan w:val="2"/>
          </w:tcPr>
          <w:p w:rsidR="003E2CC9" w:rsidRPr="003E2CC9" w:rsidRDefault="003E2CC9" w:rsidP="003E2CC9">
            <w:pPr>
              <w:jc w:val="center"/>
              <w:rPr>
                <w:rFonts w:ascii="Times New Roman" w:hAnsi="Times New Roman" w:cs="Times New Roman"/>
                <w:sz w:val="26"/>
                <w:szCs w:val="26"/>
              </w:rPr>
            </w:pPr>
            <w:r>
              <w:rPr>
                <w:rFonts w:ascii="Times New Roman" w:hAnsi="Times New Roman" w:cs="Times New Roman"/>
                <w:sz w:val="26"/>
                <w:szCs w:val="26"/>
                <w:lang w:val="vi-VN"/>
              </w:rPr>
              <w:t>F</w:t>
            </w:r>
            <w:r w:rsidRPr="003E2CC9">
              <w:rPr>
                <w:rFonts w:ascii="Times New Roman" w:hAnsi="Times New Roman" w:cs="Times New Roman"/>
                <w:sz w:val="26"/>
                <w:szCs w:val="26"/>
              </w:rPr>
              <w:t>inancial ratios and statistics</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VCB</w:t>
            </w:r>
          </w:p>
        </w:tc>
        <w:tc>
          <w:tcPr>
            <w:tcW w:w="857"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100%</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VCB</w:t>
            </w:r>
          </w:p>
        </w:tc>
        <w:tc>
          <w:tcPr>
            <w:tcW w:w="850"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100%</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VPB</w:t>
            </w:r>
          </w:p>
        </w:tc>
        <w:tc>
          <w:tcPr>
            <w:tcW w:w="825"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89%</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VCB</w:t>
            </w:r>
          </w:p>
        </w:tc>
        <w:tc>
          <w:tcPr>
            <w:tcW w:w="839"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100%</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TCB</w:t>
            </w:r>
          </w:p>
        </w:tc>
        <w:tc>
          <w:tcPr>
            <w:tcW w:w="857"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100%</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SHB</w:t>
            </w:r>
          </w:p>
        </w:tc>
        <w:tc>
          <w:tcPr>
            <w:tcW w:w="850"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100%</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VCB</w:t>
            </w:r>
          </w:p>
        </w:tc>
        <w:tc>
          <w:tcPr>
            <w:tcW w:w="825"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89%</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CTG</w:t>
            </w:r>
          </w:p>
        </w:tc>
        <w:tc>
          <w:tcPr>
            <w:tcW w:w="839"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100%</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STB</w:t>
            </w:r>
          </w:p>
        </w:tc>
        <w:tc>
          <w:tcPr>
            <w:tcW w:w="857"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100%</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CTG</w:t>
            </w:r>
          </w:p>
        </w:tc>
        <w:tc>
          <w:tcPr>
            <w:tcW w:w="850"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100%</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STB</w:t>
            </w:r>
          </w:p>
        </w:tc>
        <w:tc>
          <w:tcPr>
            <w:tcW w:w="825"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89%</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SHB</w:t>
            </w:r>
          </w:p>
        </w:tc>
        <w:tc>
          <w:tcPr>
            <w:tcW w:w="839"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92%</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SHB</w:t>
            </w:r>
          </w:p>
        </w:tc>
        <w:tc>
          <w:tcPr>
            <w:tcW w:w="857"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100%</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ABB</w:t>
            </w:r>
          </w:p>
        </w:tc>
        <w:tc>
          <w:tcPr>
            <w:tcW w:w="850"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75%</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MSB</w:t>
            </w:r>
          </w:p>
        </w:tc>
        <w:tc>
          <w:tcPr>
            <w:tcW w:w="825"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89%</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ACB</w:t>
            </w:r>
          </w:p>
        </w:tc>
        <w:tc>
          <w:tcPr>
            <w:tcW w:w="839"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92%</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NVB</w:t>
            </w:r>
          </w:p>
        </w:tc>
        <w:tc>
          <w:tcPr>
            <w:tcW w:w="857"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100%</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HDB</w:t>
            </w:r>
          </w:p>
        </w:tc>
        <w:tc>
          <w:tcPr>
            <w:tcW w:w="850"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50%</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HDB</w:t>
            </w:r>
          </w:p>
        </w:tc>
        <w:tc>
          <w:tcPr>
            <w:tcW w:w="825"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89%</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STB</w:t>
            </w:r>
          </w:p>
        </w:tc>
        <w:tc>
          <w:tcPr>
            <w:tcW w:w="839"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83%</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MBB</w:t>
            </w:r>
          </w:p>
        </w:tc>
        <w:tc>
          <w:tcPr>
            <w:tcW w:w="857"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100%</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VPB</w:t>
            </w:r>
          </w:p>
        </w:tc>
        <w:tc>
          <w:tcPr>
            <w:tcW w:w="850"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25%</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CTG</w:t>
            </w:r>
          </w:p>
        </w:tc>
        <w:tc>
          <w:tcPr>
            <w:tcW w:w="825"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89%</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MBB</w:t>
            </w:r>
          </w:p>
        </w:tc>
        <w:tc>
          <w:tcPr>
            <w:tcW w:w="839"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83%</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KLB</w:t>
            </w:r>
          </w:p>
        </w:tc>
        <w:tc>
          <w:tcPr>
            <w:tcW w:w="857"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100%</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VIB</w:t>
            </w:r>
          </w:p>
        </w:tc>
        <w:tc>
          <w:tcPr>
            <w:tcW w:w="850"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25%</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BID</w:t>
            </w:r>
          </w:p>
        </w:tc>
        <w:tc>
          <w:tcPr>
            <w:tcW w:w="825"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89%</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TCB</w:t>
            </w:r>
          </w:p>
        </w:tc>
        <w:tc>
          <w:tcPr>
            <w:tcW w:w="839"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75%</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CTG</w:t>
            </w:r>
          </w:p>
        </w:tc>
        <w:tc>
          <w:tcPr>
            <w:tcW w:w="857"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100%</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TPB</w:t>
            </w:r>
          </w:p>
        </w:tc>
        <w:tc>
          <w:tcPr>
            <w:tcW w:w="850"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25%</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VIB</w:t>
            </w:r>
          </w:p>
        </w:tc>
        <w:tc>
          <w:tcPr>
            <w:tcW w:w="825"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78%</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VPB</w:t>
            </w:r>
          </w:p>
        </w:tc>
        <w:tc>
          <w:tcPr>
            <w:tcW w:w="839"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67%</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BID</w:t>
            </w:r>
          </w:p>
        </w:tc>
        <w:tc>
          <w:tcPr>
            <w:tcW w:w="857"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100%</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STB</w:t>
            </w:r>
          </w:p>
        </w:tc>
        <w:tc>
          <w:tcPr>
            <w:tcW w:w="850"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25%</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TPB</w:t>
            </w:r>
          </w:p>
        </w:tc>
        <w:tc>
          <w:tcPr>
            <w:tcW w:w="825"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78%</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BAB</w:t>
            </w:r>
          </w:p>
        </w:tc>
        <w:tc>
          <w:tcPr>
            <w:tcW w:w="839"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67%</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ACB</w:t>
            </w:r>
          </w:p>
        </w:tc>
        <w:tc>
          <w:tcPr>
            <w:tcW w:w="857"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83%</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MBB</w:t>
            </w:r>
          </w:p>
        </w:tc>
        <w:tc>
          <w:tcPr>
            <w:tcW w:w="850"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25%</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SHB</w:t>
            </w:r>
          </w:p>
        </w:tc>
        <w:tc>
          <w:tcPr>
            <w:tcW w:w="825"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78%</w:t>
            </w:r>
          </w:p>
        </w:tc>
        <w:tc>
          <w:tcPr>
            <w:tcW w:w="1020" w:type="dxa"/>
          </w:tcPr>
          <w:p w:rsidR="003E2CC9" w:rsidRPr="003E2CC9" w:rsidRDefault="003E2CC9" w:rsidP="004A137B">
            <w:pPr>
              <w:rPr>
                <w:rFonts w:ascii="Times New Roman" w:hAnsi="Times New Roman" w:cs="Times New Roman"/>
                <w:sz w:val="26"/>
                <w:szCs w:val="26"/>
              </w:rPr>
            </w:pPr>
            <w:r w:rsidRPr="003E2CC9">
              <w:rPr>
                <w:rFonts w:ascii="Times New Roman" w:hAnsi="Times New Roman" w:cs="Times New Roman"/>
                <w:sz w:val="26"/>
                <w:szCs w:val="26"/>
                <w:lang w:val="vi-VN"/>
              </w:rPr>
              <w:t>SeABank</w:t>
            </w:r>
          </w:p>
        </w:tc>
        <w:tc>
          <w:tcPr>
            <w:tcW w:w="839"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58%</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VIB</w:t>
            </w:r>
          </w:p>
        </w:tc>
        <w:tc>
          <w:tcPr>
            <w:tcW w:w="857"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83%</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KLB</w:t>
            </w:r>
          </w:p>
        </w:tc>
        <w:tc>
          <w:tcPr>
            <w:tcW w:w="850"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25%</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MBB</w:t>
            </w:r>
          </w:p>
        </w:tc>
        <w:tc>
          <w:tcPr>
            <w:tcW w:w="825"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78%</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MSB</w:t>
            </w:r>
          </w:p>
        </w:tc>
        <w:tc>
          <w:tcPr>
            <w:tcW w:w="839"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58%</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TPB</w:t>
            </w:r>
          </w:p>
        </w:tc>
        <w:tc>
          <w:tcPr>
            <w:tcW w:w="857"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83%</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BID</w:t>
            </w:r>
          </w:p>
        </w:tc>
        <w:tc>
          <w:tcPr>
            <w:tcW w:w="850"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25%</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KLB</w:t>
            </w:r>
          </w:p>
        </w:tc>
        <w:tc>
          <w:tcPr>
            <w:tcW w:w="825"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78%</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BID</w:t>
            </w:r>
          </w:p>
        </w:tc>
        <w:tc>
          <w:tcPr>
            <w:tcW w:w="839"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58%</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SGB</w:t>
            </w:r>
          </w:p>
        </w:tc>
        <w:tc>
          <w:tcPr>
            <w:tcW w:w="857"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83%</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ACB</w:t>
            </w:r>
          </w:p>
        </w:tc>
        <w:tc>
          <w:tcPr>
            <w:tcW w:w="850"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25%</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EIB</w:t>
            </w:r>
          </w:p>
        </w:tc>
        <w:tc>
          <w:tcPr>
            <w:tcW w:w="825"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78%</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TPB</w:t>
            </w:r>
          </w:p>
        </w:tc>
        <w:tc>
          <w:tcPr>
            <w:tcW w:w="839"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50%</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MSB</w:t>
            </w:r>
          </w:p>
        </w:tc>
        <w:tc>
          <w:tcPr>
            <w:tcW w:w="857"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83%</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TCB</w:t>
            </w:r>
          </w:p>
        </w:tc>
        <w:tc>
          <w:tcPr>
            <w:tcW w:w="850"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0%</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ACB</w:t>
            </w:r>
          </w:p>
        </w:tc>
        <w:tc>
          <w:tcPr>
            <w:tcW w:w="825"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78%</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EIB</w:t>
            </w:r>
          </w:p>
        </w:tc>
        <w:tc>
          <w:tcPr>
            <w:tcW w:w="839"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50%</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LPB</w:t>
            </w:r>
          </w:p>
        </w:tc>
        <w:tc>
          <w:tcPr>
            <w:tcW w:w="857"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83%</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SGB</w:t>
            </w:r>
          </w:p>
        </w:tc>
        <w:tc>
          <w:tcPr>
            <w:tcW w:w="850"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0%</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ABB</w:t>
            </w:r>
          </w:p>
        </w:tc>
        <w:tc>
          <w:tcPr>
            <w:tcW w:w="825"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78%</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ABB</w:t>
            </w:r>
          </w:p>
        </w:tc>
        <w:tc>
          <w:tcPr>
            <w:tcW w:w="839"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50%</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EIB</w:t>
            </w:r>
          </w:p>
        </w:tc>
        <w:tc>
          <w:tcPr>
            <w:tcW w:w="857"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83%</w:t>
            </w:r>
          </w:p>
        </w:tc>
        <w:tc>
          <w:tcPr>
            <w:tcW w:w="1020" w:type="dxa"/>
          </w:tcPr>
          <w:p w:rsidR="003E2CC9" w:rsidRPr="003E2CC9" w:rsidRDefault="003E2CC9" w:rsidP="004A137B">
            <w:pPr>
              <w:rPr>
                <w:rFonts w:ascii="Times New Roman" w:hAnsi="Times New Roman" w:cs="Times New Roman"/>
                <w:sz w:val="26"/>
                <w:szCs w:val="26"/>
              </w:rPr>
            </w:pPr>
            <w:r w:rsidRPr="003E2CC9">
              <w:rPr>
                <w:rFonts w:ascii="Times New Roman" w:hAnsi="Times New Roman" w:cs="Times New Roman"/>
                <w:sz w:val="26"/>
                <w:szCs w:val="26"/>
                <w:lang w:val="vi-VN"/>
              </w:rPr>
              <w:t>SeABank</w:t>
            </w:r>
          </w:p>
        </w:tc>
        <w:tc>
          <w:tcPr>
            <w:tcW w:w="850"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0%</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TCB</w:t>
            </w:r>
          </w:p>
        </w:tc>
        <w:tc>
          <w:tcPr>
            <w:tcW w:w="825"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56%</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VIB</w:t>
            </w:r>
          </w:p>
        </w:tc>
        <w:tc>
          <w:tcPr>
            <w:tcW w:w="839"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42%</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BAB</w:t>
            </w:r>
          </w:p>
        </w:tc>
        <w:tc>
          <w:tcPr>
            <w:tcW w:w="857"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83%</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NVB</w:t>
            </w:r>
          </w:p>
        </w:tc>
        <w:tc>
          <w:tcPr>
            <w:tcW w:w="850"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0%</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NVB</w:t>
            </w:r>
          </w:p>
        </w:tc>
        <w:tc>
          <w:tcPr>
            <w:tcW w:w="825"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56%</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LPB</w:t>
            </w:r>
          </w:p>
        </w:tc>
        <w:tc>
          <w:tcPr>
            <w:tcW w:w="839"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25%</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ABB</w:t>
            </w:r>
          </w:p>
        </w:tc>
        <w:tc>
          <w:tcPr>
            <w:tcW w:w="857"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83%</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MSB</w:t>
            </w:r>
          </w:p>
        </w:tc>
        <w:tc>
          <w:tcPr>
            <w:tcW w:w="850"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0%</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LPB</w:t>
            </w:r>
          </w:p>
        </w:tc>
        <w:tc>
          <w:tcPr>
            <w:tcW w:w="825"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56%</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HDB</w:t>
            </w:r>
          </w:p>
        </w:tc>
        <w:tc>
          <w:tcPr>
            <w:tcW w:w="839"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25%</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VPB</w:t>
            </w:r>
          </w:p>
        </w:tc>
        <w:tc>
          <w:tcPr>
            <w:tcW w:w="857"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67%</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LPB</w:t>
            </w:r>
          </w:p>
        </w:tc>
        <w:tc>
          <w:tcPr>
            <w:tcW w:w="850"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0%</w:t>
            </w:r>
          </w:p>
        </w:tc>
        <w:tc>
          <w:tcPr>
            <w:tcW w:w="1020" w:type="dxa"/>
          </w:tcPr>
          <w:p w:rsidR="003E2CC9" w:rsidRPr="003E2CC9" w:rsidRDefault="003E2CC9" w:rsidP="004A137B">
            <w:pPr>
              <w:rPr>
                <w:rFonts w:ascii="Times New Roman" w:hAnsi="Times New Roman" w:cs="Times New Roman"/>
                <w:sz w:val="26"/>
                <w:szCs w:val="26"/>
              </w:rPr>
            </w:pPr>
            <w:r w:rsidRPr="003E2CC9">
              <w:rPr>
                <w:rFonts w:ascii="Times New Roman" w:hAnsi="Times New Roman" w:cs="Times New Roman"/>
                <w:sz w:val="26"/>
                <w:szCs w:val="26"/>
                <w:lang w:val="vi-VN"/>
              </w:rPr>
              <w:t>SeABank</w:t>
            </w:r>
          </w:p>
        </w:tc>
        <w:tc>
          <w:tcPr>
            <w:tcW w:w="825"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44%</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SGB</w:t>
            </w:r>
          </w:p>
        </w:tc>
        <w:tc>
          <w:tcPr>
            <w:tcW w:w="839"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17%</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SeABank</w:t>
            </w:r>
          </w:p>
        </w:tc>
        <w:tc>
          <w:tcPr>
            <w:tcW w:w="857"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67%</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EIB</w:t>
            </w:r>
          </w:p>
        </w:tc>
        <w:tc>
          <w:tcPr>
            <w:tcW w:w="850"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0%</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BAB</w:t>
            </w:r>
          </w:p>
        </w:tc>
        <w:tc>
          <w:tcPr>
            <w:tcW w:w="825"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44%</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NVB</w:t>
            </w:r>
          </w:p>
        </w:tc>
        <w:tc>
          <w:tcPr>
            <w:tcW w:w="839"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17%</w:t>
            </w:r>
          </w:p>
        </w:tc>
      </w:tr>
      <w:tr w:rsidR="003E2CC9" w:rsidRPr="003E2CC9" w:rsidTr="003E2CC9">
        <w:trPr>
          <w:jc w:val="center"/>
        </w:trPr>
        <w:tc>
          <w:tcPr>
            <w:tcW w:w="1021"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HDB</w:t>
            </w:r>
          </w:p>
        </w:tc>
        <w:tc>
          <w:tcPr>
            <w:tcW w:w="857"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67%</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BAB</w:t>
            </w:r>
          </w:p>
        </w:tc>
        <w:tc>
          <w:tcPr>
            <w:tcW w:w="850"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0%</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SGB</w:t>
            </w:r>
          </w:p>
        </w:tc>
        <w:tc>
          <w:tcPr>
            <w:tcW w:w="825" w:type="dxa"/>
          </w:tcPr>
          <w:p w:rsidR="003E2CC9" w:rsidRPr="003E2CC9" w:rsidRDefault="003E2CC9" w:rsidP="003E2CC9">
            <w:pPr>
              <w:jc w:val="center"/>
              <w:rPr>
                <w:rFonts w:ascii="Times New Roman" w:hAnsi="Times New Roman" w:cs="Times New Roman"/>
                <w:sz w:val="26"/>
                <w:szCs w:val="26"/>
                <w:lang w:val="vi-VN"/>
              </w:rPr>
            </w:pPr>
            <w:r w:rsidRPr="003E2CC9">
              <w:rPr>
                <w:rFonts w:ascii="Times New Roman" w:hAnsi="Times New Roman" w:cs="Times New Roman"/>
                <w:sz w:val="26"/>
                <w:szCs w:val="26"/>
                <w:lang w:val="vi-VN"/>
              </w:rPr>
              <w:t>5%</w:t>
            </w:r>
          </w:p>
        </w:tc>
        <w:tc>
          <w:tcPr>
            <w:tcW w:w="1020" w:type="dxa"/>
          </w:tcPr>
          <w:p w:rsidR="003E2CC9" w:rsidRPr="003E2CC9" w:rsidRDefault="003E2CC9" w:rsidP="004A137B">
            <w:pPr>
              <w:rPr>
                <w:rFonts w:ascii="Times New Roman" w:hAnsi="Times New Roman" w:cs="Times New Roman"/>
                <w:sz w:val="26"/>
                <w:szCs w:val="26"/>
                <w:lang w:val="vi-VN"/>
              </w:rPr>
            </w:pPr>
            <w:r w:rsidRPr="003E2CC9">
              <w:rPr>
                <w:rFonts w:ascii="Times New Roman" w:hAnsi="Times New Roman" w:cs="Times New Roman"/>
                <w:sz w:val="26"/>
                <w:szCs w:val="26"/>
                <w:lang w:val="vi-VN"/>
              </w:rPr>
              <w:t>KLB</w:t>
            </w:r>
          </w:p>
        </w:tc>
        <w:tc>
          <w:tcPr>
            <w:tcW w:w="839" w:type="dxa"/>
          </w:tcPr>
          <w:p w:rsidR="003E2CC9" w:rsidRPr="003E2CC9" w:rsidRDefault="003E2CC9" w:rsidP="003E2CC9">
            <w:pPr>
              <w:jc w:val="center"/>
              <w:rPr>
                <w:rFonts w:ascii="Times New Roman" w:hAnsi="Times New Roman" w:cs="Times New Roman"/>
                <w:sz w:val="26"/>
                <w:szCs w:val="26"/>
              </w:rPr>
            </w:pPr>
            <w:r w:rsidRPr="003E2CC9">
              <w:rPr>
                <w:rFonts w:ascii="Times New Roman" w:hAnsi="Times New Roman" w:cs="Times New Roman"/>
                <w:sz w:val="26"/>
                <w:szCs w:val="26"/>
                <w:lang w:val="vi-VN"/>
              </w:rPr>
              <w:t>17%</w:t>
            </w:r>
          </w:p>
        </w:tc>
      </w:tr>
    </w:tbl>
    <w:p w:rsidR="00DE1080" w:rsidRDefault="00DE1080" w:rsidP="00865F7C">
      <w:pPr>
        <w:pStyle w:val="HTMLPreformatted"/>
        <w:shd w:val="clear" w:color="auto" w:fill="FFFFFF"/>
        <w:spacing w:before="120" w:after="120" w:line="360" w:lineRule="auto"/>
        <w:jc w:val="both"/>
        <w:rPr>
          <w:rFonts w:ascii="Times New Roman" w:hAnsi="Times New Roman" w:cs="Times New Roman"/>
          <w:sz w:val="26"/>
          <w:szCs w:val="26"/>
        </w:rPr>
      </w:pPr>
    </w:p>
    <w:p w:rsidR="00967665" w:rsidRPr="00912E09" w:rsidRDefault="00912E09" w:rsidP="00865F7C">
      <w:pPr>
        <w:pStyle w:val="HTMLPreformatted"/>
        <w:shd w:val="clear" w:color="auto" w:fill="FFFFFF"/>
        <w:spacing w:before="120" w:after="120" w:line="360" w:lineRule="auto"/>
        <w:jc w:val="both"/>
        <w:rPr>
          <w:rFonts w:ascii="Times New Roman" w:hAnsi="Times New Roman" w:cs="Times New Roman"/>
          <w:i/>
          <w:sz w:val="26"/>
          <w:szCs w:val="26"/>
        </w:rPr>
      </w:pPr>
      <w:r w:rsidRPr="00912E09">
        <w:rPr>
          <w:rFonts w:ascii="Times New Roman" w:hAnsi="Times New Roman" w:cs="Times New Roman"/>
          <w:i/>
          <w:sz w:val="26"/>
          <w:szCs w:val="26"/>
        </w:rPr>
        <w:lastRenderedPageBreak/>
        <w:t>Level of disclosure on g</w:t>
      </w:r>
      <w:r w:rsidR="00967665" w:rsidRPr="00912E09">
        <w:rPr>
          <w:rFonts w:ascii="Times New Roman" w:hAnsi="Times New Roman" w:cs="Times New Roman"/>
          <w:i/>
          <w:sz w:val="26"/>
          <w:szCs w:val="26"/>
        </w:rPr>
        <w:t>eneral information</w:t>
      </w:r>
      <w:r w:rsidRPr="00912E09">
        <w:rPr>
          <w:rFonts w:ascii="Times New Roman" w:hAnsi="Times New Roman" w:cs="Times New Roman"/>
          <w:i/>
          <w:sz w:val="26"/>
          <w:szCs w:val="26"/>
        </w:rPr>
        <w:t xml:space="preserve"> about the banks</w:t>
      </w:r>
    </w:p>
    <w:p w:rsidR="000633F0" w:rsidRDefault="003E2CC9" w:rsidP="000633F0">
      <w:pPr>
        <w:pStyle w:val="HTMLPreformatted"/>
        <w:shd w:val="clear" w:color="auto" w:fill="FFFFFF"/>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Table 3</w:t>
      </w:r>
      <w:r w:rsidR="000633F0" w:rsidRPr="00865F7C">
        <w:rPr>
          <w:rFonts w:ascii="Times New Roman" w:hAnsi="Times New Roman" w:cs="Times New Roman"/>
          <w:sz w:val="26"/>
          <w:szCs w:val="26"/>
        </w:rPr>
        <w:t xml:space="preserve"> </w:t>
      </w:r>
      <w:r w:rsidR="000633F0">
        <w:rPr>
          <w:rFonts w:ascii="Times New Roman" w:hAnsi="Times New Roman" w:cs="Times New Roman"/>
          <w:sz w:val="26"/>
          <w:szCs w:val="26"/>
        </w:rPr>
        <w:t>shows that banks spend</w:t>
      </w:r>
      <w:r w:rsidR="000633F0" w:rsidRPr="00865F7C">
        <w:rPr>
          <w:rFonts w:ascii="Times New Roman" w:hAnsi="Times New Roman" w:cs="Times New Roman"/>
          <w:sz w:val="26"/>
          <w:szCs w:val="26"/>
        </w:rPr>
        <w:t xml:space="preserve"> </w:t>
      </w:r>
      <w:r w:rsidR="000633F0">
        <w:rPr>
          <w:rFonts w:ascii="Times New Roman" w:hAnsi="Times New Roman" w:cs="Times New Roman"/>
          <w:sz w:val="26"/>
          <w:szCs w:val="26"/>
        </w:rPr>
        <w:t>high</w:t>
      </w:r>
      <w:r w:rsidR="000633F0" w:rsidRPr="00865F7C">
        <w:rPr>
          <w:rFonts w:ascii="Times New Roman" w:hAnsi="Times New Roman" w:cs="Times New Roman"/>
          <w:sz w:val="26"/>
          <w:szCs w:val="26"/>
        </w:rPr>
        <w:t xml:space="preserve"> attention </w:t>
      </w:r>
      <w:r w:rsidR="000633F0">
        <w:rPr>
          <w:rFonts w:ascii="Times New Roman" w:hAnsi="Times New Roman" w:cs="Times New Roman"/>
          <w:sz w:val="26"/>
          <w:szCs w:val="26"/>
        </w:rPr>
        <w:t>on</w:t>
      </w:r>
      <w:r w:rsidR="000633F0" w:rsidRPr="00865F7C">
        <w:rPr>
          <w:rFonts w:ascii="Times New Roman" w:hAnsi="Times New Roman" w:cs="Times New Roman"/>
          <w:sz w:val="26"/>
          <w:szCs w:val="26"/>
        </w:rPr>
        <w:t xml:space="preserve"> the overall performance of the bank on the bank's annual report. The rate of disclosure of this information is 67% or more, especially </w:t>
      </w:r>
      <w:r w:rsidR="000633F0">
        <w:rPr>
          <w:rFonts w:ascii="Times New Roman" w:hAnsi="Times New Roman" w:cs="Times New Roman"/>
          <w:sz w:val="26"/>
          <w:szCs w:val="26"/>
        </w:rPr>
        <w:t xml:space="preserve">top </w:t>
      </w:r>
      <w:r w:rsidR="000633F0" w:rsidRPr="00865F7C">
        <w:rPr>
          <w:rFonts w:ascii="Times New Roman" w:hAnsi="Times New Roman" w:cs="Times New Roman"/>
          <w:sz w:val="26"/>
          <w:szCs w:val="26"/>
        </w:rPr>
        <w:t>10 banks out of 21 banks fully disclose 100% of voluntary information introducing an overview of banking operations.</w:t>
      </w:r>
    </w:p>
    <w:p w:rsidR="00CE2450" w:rsidRPr="00912E09" w:rsidRDefault="00912E09" w:rsidP="00865F7C">
      <w:pPr>
        <w:pStyle w:val="HTMLPreformatted"/>
        <w:shd w:val="clear" w:color="auto" w:fill="FFFFFF"/>
        <w:spacing w:before="120" w:after="120" w:line="360" w:lineRule="auto"/>
        <w:jc w:val="both"/>
        <w:rPr>
          <w:rFonts w:ascii="Times New Roman" w:hAnsi="Times New Roman" w:cs="Times New Roman"/>
          <w:sz w:val="26"/>
          <w:szCs w:val="26"/>
        </w:rPr>
      </w:pPr>
      <w:r w:rsidRPr="00912E09">
        <w:rPr>
          <w:rFonts w:ascii="Times New Roman" w:hAnsi="Times New Roman" w:cs="Times New Roman"/>
          <w:i/>
          <w:sz w:val="26"/>
          <w:szCs w:val="26"/>
        </w:rPr>
        <w:t>Level of disclosure on information about social responsibility of the banks</w:t>
      </w:r>
    </w:p>
    <w:p w:rsidR="000633F0" w:rsidRDefault="003E2CC9" w:rsidP="000633F0">
      <w:pPr>
        <w:pStyle w:val="HTMLPreformatted"/>
        <w:shd w:val="clear" w:color="auto" w:fill="FFFFFF"/>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The information about social responsibility shows </w:t>
      </w:r>
      <w:r w:rsidR="000633F0">
        <w:rPr>
          <w:rFonts w:ascii="Times New Roman" w:hAnsi="Times New Roman" w:cs="Times New Roman"/>
          <w:sz w:val="26"/>
          <w:szCs w:val="26"/>
        </w:rPr>
        <w:t>t</w:t>
      </w:r>
      <w:r w:rsidR="000633F0" w:rsidRPr="00865F7C">
        <w:rPr>
          <w:rFonts w:ascii="Times New Roman" w:hAnsi="Times New Roman" w:cs="Times New Roman"/>
          <w:sz w:val="26"/>
          <w:szCs w:val="26"/>
        </w:rPr>
        <w:t>he</w:t>
      </w:r>
      <w:r w:rsidR="000633F0">
        <w:rPr>
          <w:rFonts w:ascii="Times New Roman" w:hAnsi="Times New Roman" w:cs="Times New Roman"/>
          <w:sz w:val="26"/>
          <w:szCs w:val="26"/>
        </w:rPr>
        <w:t xml:space="preserve"> </w:t>
      </w:r>
      <w:r w:rsidR="000633F0" w:rsidRPr="00865F7C">
        <w:rPr>
          <w:rFonts w:ascii="Times New Roman" w:hAnsi="Times New Roman" w:cs="Times New Roman"/>
          <w:sz w:val="26"/>
          <w:szCs w:val="26"/>
        </w:rPr>
        <w:t xml:space="preserve">lowest disclosure </w:t>
      </w:r>
      <w:r w:rsidR="000633F0">
        <w:rPr>
          <w:rFonts w:ascii="Times New Roman" w:hAnsi="Times New Roman" w:cs="Times New Roman"/>
          <w:sz w:val="26"/>
          <w:szCs w:val="26"/>
        </w:rPr>
        <w:t>level</w:t>
      </w:r>
      <w:r w:rsidR="000633F0" w:rsidRPr="00865F7C">
        <w:rPr>
          <w:rFonts w:ascii="Times New Roman" w:hAnsi="Times New Roman" w:cs="Times New Roman"/>
          <w:sz w:val="26"/>
          <w:szCs w:val="26"/>
        </w:rPr>
        <w:t xml:space="preserve"> in the </w:t>
      </w:r>
      <w:r w:rsidR="000633F0">
        <w:rPr>
          <w:rFonts w:ascii="Times New Roman" w:hAnsi="Times New Roman" w:cs="Times New Roman"/>
          <w:sz w:val="26"/>
          <w:szCs w:val="26"/>
        </w:rPr>
        <w:t xml:space="preserve">in the bank's annual report is. </w:t>
      </w:r>
      <w:r w:rsidR="000633F0" w:rsidRPr="00865F7C">
        <w:rPr>
          <w:rFonts w:ascii="Times New Roman" w:hAnsi="Times New Roman" w:cs="Times New Roman"/>
          <w:sz w:val="26"/>
          <w:szCs w:val="26"/>
        </w:rPr>
        <w:t>Leading the list are the three banks that fully disclose their social responsibility information, including VCB, SHB and CTB. This group of banks represents a very high level of responsibility for social activities such as sponsoring health, sports, education and charity activities,</w:t>
      </w:r>
      <w:r w:rsidR="000633F0">
        <w:rPr>
          <w:rFonts w:ascii="Times New Roman" w:hAnsi="Times New Roman" w:cs="Times New Roman"/>
          <w:sz w:val="26"/>
          <w:szCs w:val="26"/>
        </w:rPr>
        <w:t xml:space="preserve"> supporting government awards. </w:t>
      </w:r>
      <w:r w:rsidR="00CD4DF0">
        <w:rPr>
          <w:rFonts w:ascii="Times New Roman" w:hAnsi="Times New Roman" w:cs="Times New Roman"/>
          <w:sz w:val="26"/>
          <w:szCs w:val="26"/>
        </w:rPr>
        <w:t xml:space="preserve">Following is </w:t>
      </w:r>
      <w:r w:rsidR="000633F0" w:rsidRPr="00865F7C">
        <w:rPr>
          <w:rFonts w:ascii="Times New Roman" w:hAnsi="Times New Roman" w:cs="Times New Roman"/>
          <w:sz w:val="26"/>
          <w:szCs w:val="26"/>
        </w:rPr>
        <w:t xml:space="preserve">ABB's social responsibility disclosure rate of 75% and HDB's 50%. </w:t>
      </w:r>
      <w:r w:rsidR="000633F0">
        <w:rPr>
          <w:rFonts w:ascii="Times New Roman" w:hAnsi="Times New Roman" w:cs="Times New Roman"/>
          <w:sz w:val="26"/>
          <w:szCs w:val="26"/>
        </w:rPr>
        <w:t>B</w:t>
      </w:r>
      <w:r w:rsidR="000633F0" w:rsidRPr="00865F7C">
        <w:rPr>
          <w:rFonts w:ascii="Times New Roman" w:hAnsi="Times New Roman" w:cs="Times New Roman"/>
          <w:sz w:val="26"/>
          <w:szCs w:val="26"/>
        </w:rPr>
        <w:t xml:space="preserve">anks have a very low disclosure rate of 25%, mainly on the social activities of the bank in co-operation with the local bank where the bank is operating. The remaining banks below </w:t>
      </w:r>
      <w:r w:rsidR="000633F0">
        <w:rPr>
          <w:rFonts w:ascii="Times New Roman" w:hAnsi="Times New Roman" w:cs="Times New Roman"/>
          <w:sz w:val="26"/>
          <w:szCs w:val="26"/>
        </w:rPr>
        <w:t>the chart ar</w:t>
      </w:r>
      <w:r w:rsidR="000633F0" w:rsidRPr="00865F7C">
        <w:rPr>
          <w:rFonts w:ascii="Times New Roman" w:hAnsi="Times New Roman" w:cs="Times New Roman"/>
          <w:sz w:val="26"/>
          <w:szCs w:val="26"/>
        </w:rPr>
        <w:t>e banks that do not disclose corporate social responsibility information in their annual report.</w:t>
      </w:r>
    </w:p>
    <w:p w:rsidR="000633F0" w:rsidRPr="00912E09" w:rsidRDefault="00912E09" w:rsidP="00865F7C">
      <w:pPr>
        <w:pStyle w:val="HTMLPreformatted"/>
        <w:shd w:val="clear" w:color="auto" w:fill="FFFFFF"/>
        <w:spacing w:before="120" w:after="120" w:line="360" w:lineRule="auto"/>
        <w:jc w:val="both"/>
        <w:rPr>
          <w:rFonts w:ascii="Times New Roman" w:hAnsi="Times New Roman" w:cs="Times New Roman"/>
          <w:sz w:val="26"/>
          <w:szCs w:val="26"/>
        </w:rPr>
      </w:pPr>
      <w:r w:rsidRPr="00912E09">
        <w:rPr>
          <w:rFonts w:ascii="Times New Roman" w:hAnsi="Times New Roman" w:cs="Times New Roman"/>
          <w:i/>
          <w:sz w:val="26"/>
          <w:szCs w:val="26"/>
        </w:rPr>
        <w:t>Level of disclosure on information about corporate governance of the banks</w:t>
      </w:r>
    </w:p>
    <w:p w:rsidR="000633F0" w:rsidRDefault="003E2CC9" w:rsidP="000633F0">
      <w:pPr>
        <w:pStyle w:val="HTMLPreformatted"/>
        <w:shd w:val="clear" w:color="auto" w:fill="FFFFFF"/>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M</w:t>
      </w:r>
      <w:r w:rsidR="000633F0" w:rsidRPr="00865F7C">
        <w:rPr>
          <w:rFonts w:ascii="Times New Roman" w:hAnsi="Times New Roman" w:cs="Times New Roman"/>
          <w:sz w:val="26"/>
          <w:szCs w:val="26"/>
        </w:rPr>
        <w:t xml:space="preserve">ost commercial banks attach great importance to the disclosure of information on the bank's management system. Information about the banking management system includes the list, image, qualifications, experience and duties of each member of the board of directors and managers of the commercial bank. The average rate of information disclosure on commercial bank governance was 72%, </w:t>
      </w:r>
      <w:r w:rsidR="000633F0">
        <w:rPr>
          <w:rFonts w:ascii="Times New Roman" w:hAnsi="Times New Roman" w:cs="Times New Roman"/>
          <w:sz w:val="26"/>
          <w:szCs w:val="26"/>
        </w:rPr>
        <w:t>C</w:t>
      </w:r>
      <w:r w:rsidR="000633F0" w:rsidRPr="00865F7C">
        <w:rPr>
          <w:rFonts w:ascii="Times New Roman" w:hAnsi="Times New Roman" w:cs="Times New Roman"/>
          <w:sz w:val="26"/>
          <w:szCs w:val="26"/>
        </w:rPr>
        <w:t xml:space="preserve">ommercial banks have the highest disclosure ratio of VPB, VCB, STB, MSB, HDB, CTG, BID. The information is quite voluntary about the bank's management system at 89%. The next banking group was announced at 78%, 56% and 44% respectively. In particular, the SGB rate is 5%, meaning that the bank is not transparent about the governance system in the bank. According to statistics, most banks do not provide information on the number of members attending bank meetings. Next, the list of audit boards is also rarely presented in the bank's annual report. Of the 21 commercial banks in the sample, only </w:t>
      </w:r>
      <w:r w:rsidR="000633F0" w:rsidRPr="00865F7C">
        <w:rPr>
          <w:rFonts w:ascii="Times New Roman" w:hAnsi="Times New Roman" w:cs="Times New Roman"/>
          <w:sz w:val="26"/>
          <w:szCs w:val="26"/>
        </w:rPr>
        <w:lastRenderedPageBreak/>
        <w:t>large banks such as VCB, BID and VPB published information on the audi</w:t>
      </w:r>
      <w:r w:rsidR="000633F0">
        <w:rPr>
          <w:rFonts w:ascii="Times New Roman" w:hAnsi="Times New Roman" w:cs="Times New Roman"/>
          <w:sz w:val="26"/>
          <w:szCs w:val="26"/>
        </w:rPr>
        <w:t xml:space="preserve">t council in the bank, but not in details about </w:t>
      </w:r>
      <w:r w:rsidR="000633F0" w:rsidRPr="00865F7C">
        <w:rPr>
          <w:rFonts w:ascii="Times New Roman" w:hAnsi="Times New Roman" w:cs="Times New Roman"/>
          <w:sz w:val="26"/>
          <w:szCs w:val="26"/>
        </w:rPr>
        <w:t>the role, function and activity of the audit council.</w:t>
      </w:r>
    </w:p>
    <w:p w:rsidR="00912E09" w:rsidRPr="00912E09" w:rsidRDefault="00912E09" w:rsidP="000633F0">
      <w:pPr>
        <w:pStyle w:val="HTMLPreformatted"/>
        <w:shd w:val="clear" w:color="auto" w:fill="FFFFFF"/>
        <w:spacing w:before="120" w:after="120" w:line="360" w:lineRule="auto"/>
        <w:jc w:val="both"/>
        <w:rPr>
          <w:rFonts w:ascii="Times New Roman" w:hAnsi="Times New Roman" w:cs="Times New Roman"/>
          <w:i/>
          <w:sz w:val="26"/>
          <w:szCs w:val="26"/>
        </w:rPr>
      </w:pPr>
      <w:r w:rsidRPr="00912E09">
        <w:rPr>
          <w:rFonts w:ascii="Times New Roman" w:hAnsi="Times New Roman" w:cs="Times New Roman"/>
          <w:i/>
          <w:sz w:val="26"/>
          <w:szCs w:val="26"/>
        </w:rPr>
        <w:t>Level of disclosure on information about financial ratios and statistics of the banks</w:t>
      </w:r>
    </w:p>
    <w:p w:rsidR="00021833" w:rsidRDefault="000633F0" w:rsidP="00021833">
      <w:pPr>
        <w:pStyle w:val="HTMLPreformatted"/>
        <w:shd w:val="clear" w:color="auto" w:fill="FFFFFF"/>
        <w:spacing w:before="120" w:after="120" w:line="360" w:lineRule="auto"/>
        <w:jc w:val="both"/>
        <w:rPr>
          <w:rFonts w:ascii="Times New Roman" w:hAnsi="Times New Roman" w:cs="Times New Roman"/>
          <w:sz w:val="26"/>
          <w:szCs w:val="26"/>
        </w:rPr>
      </w:pPr>
      <w:r w:rsidRPr="00865F7C">
        <w:rPr>
          <w:rFonts w:ascii="Times New Roman" w:hAnsi="Times New Roman" w:cs="Times New Roman"/>
          <w:sz w:val="26"/>
          <w:szCs w:val="26"/>
        </w:rPr>
        <w:t xml:space="preserve">Financial information includes indicators related to business performance such as ROA, ROE, liquidity ratio, stock and earnings per share, equity ratios and loan ratios. capital mobilization. Statistical information presents the indicators of the volatility of the indicators over the last 5 years of operation. There is also information on the number of branches that banks open in the fiscal year. Based on the results of the analysis, the research shows that VCB and CTG are two </w:t>
      </w:r>
      <w:r>
        <w:rPr>
          <w:rFonts w:ascii="Times New Roman" w:hAnsi="Times New Roman" w:cs="Times New Roman"/>
          <w:sz w:val="26"/>
          <w:szCs w:val="26"/>
        </w:rPr>
        <w:t xml:space="preserve">out </w:t>
      </w:r>
      <w:r w:rsidRPr="00865F7C">
        <w:rPr>
          <w:rFonts w:ascii="Times New Roman" w:hAnsi="Times New Roman" w:cs="Times New Roman"/>
          <w:sz w:val="26"/>
          <w:szCs w:val="26"/>
        </w:rPr>
        <w:t xml:space="preserve">of the 21 banks with the highest level of disclosure of financial information and statistics at 100%. The lowest were SGB, NVB and KLB with </w:t>
      </w:r>
      <w:r>
        <w:rPr>
          <w:rFonts w:ascii="Times New Roman" w:hAnsi="Times New Roman" w:cs="Times New Roman"/>
          <w:sz w:val="26"/>
          <w:szCs w:val="26"/>
        </w:rPr>
        <w:t xml:space="preserve">the rate of </w:t>
      </w:r>
      <w:r w:rsidRPr="00865F7C">
        <w:rPr>
          <w:rFonts w:ascii="Times New Roman" w:hAnsi="Times New Roman" w:cs="Times New Roman"/>
          <w:sz w:val="26"/>
          <w:szCs w:val="26"/>
        </w:rPr>
        <w:t>17%. The type of information that most commercial banks publish is the general presentation of business results and stock situation, dividends and earnings per share. The type of information that banks rarely publish is the number of branches opened in the fiscal year. This is explained that the operation of the bank has been stable and some banks have difficulties in doing business in the financial year 2016 so</w:t>
      </w:r>
      <w:r w:rsidR="00021833">
        <w:rPr>
          <w:rFonts w:ascii="Times New Roman" w:hAnsi="Times New Roman" w:cs="Times New Roman"/>
          <w:sz w:val="26"/>
          <w:szCs w:val="26"/>
        </w:rPr>
        <w:t xml:space="preserve"> they do not open more branches.</w:t>
      </w:r>
      <w:r w:rsidRPr="00865F7C">
        <w:rPr>
          <w:rFonts w:ascii="Times New Roman" w:hAnsi="Times New Roman" w:cs="Times New Roman"/>
          <w:sz w:val="26"/>
          <w:szCs w:val="26"/>
        </w:rPr>
        <w:t xml:space="preserve"> </w:t>
      </w:r>
      <w:r w:rsidR="00021833">
        <w:rPr>
          <w:rFonts w:ascii="Times New Roman" w:hAnsi="Times New Roman" w:cs="Times New Roman"/>
          <w:sz w:val="26"/>
          <w:szCs w:val="26"/>
        </w:rPr>
        <w:t>Hence, t</w:t>
      </w:r>
      <w:r w:rsidRPr="00865F7C">
        <w:rPr>
          <w:rFonts w:ascii="Times New Roman" w:hAnsi="Times New Roman" w:cs="Times New Roman"/>
          <w:sz w:val="26"/>
          <w:szCs w:val="26"/>
        </w:rPr>
        <w:t xml:space="preserve">his </w:t>
      </w:r>
      <w:r w:rsidR="00021833">
        <w:rPr>
          <w:rFonts w:ascii="Times New Roman" w:hAnsi="Times New Roman" w:cs="Times New Roman"/>
          <w:sz w:val="26"/>
          <w:szCs w:val="26"/>
        </w:rPr>
        <w:t xml:space="preserve">information was not </w:t>
      </w:r>
      <w:r w:rsidR="00CD4DF0">
        <w:rPr>
          <w:rFonts w:ascii="Times New Roman" w:hAnsi="Times New Roman" w:cs="Times New Roman"/>
          <w:sz w:val="26"/>
          <w:szCs w:val="26"/>
        </w:rPr>
        <w:t>disclosure</w:t>
      </w:r>
      <w:r w:rsidR="00021833">
        <w:rPr>
          <w:rFonts w:ascii="Times New Roman" w:hAnsi="Times New Roman" w:cs="Times New Roman"/>
          <w:sz w:val="26"/>
          <w:szCs w:val="26"/>
        </w:rPr>
        <w:t xml:space="preserve"> </w:t>
      </w:r>
      <w:r w:rsidRPr="00865F7C">
        <w:rPr>
          <w:rFonts w:ascii="Times New Roman" w:hAnsi="Times New Roman" w:cs="Times New Roman"/>
          <w:sz w:val="26"/>
          <w:szCs w:val="26"/>
        </w:rPr>
        <w:t>in the bank's annual report. Information on the liquidity ratio and the ratio of loans on deposits of banks is information that almost many investors, customers deposit into the bank very interested, the majority of banks not transparent. Only 12 out of 21 banks presented the liquidity and efficiency of liquidity management at the bank. Eight out of 21 banks have announced the ratio of loans on deposits, but only at the figures, without analyzing the effectiveness of these two activities.</w:t>
      </w:r>
    </w:p>
    <w:p w:rsidR="00337EA4" w:rsidRPr="00871CDF" w:rsidRDefault="004213E5" w:rsidP="00865F7C">
      <w:pPr>
        <w:pStyle w:val="HTMLPreformatted"/>
        <w:shd w:val="clear" w:color="auto" w:fill="FFFFFF"/>
        <w:spacing w:before="120" w:after="120" w:line="360" w:lineRule="auto"/>
        <w:jc w:val="both"/>
        <w:rPr>
          <w:rFonts w:ascii="Times New Roman" w:hAnsi="Times New Roman" w:cs="Times New Roman"/>
          <w:b/>
          <w:sz w:val="26"/>
          <w:szCs w:val="26"/>
        </w:rPr>
      </w:pPr>
      <w:r>
        <w:rPr>
          <w:rFonts w:ascii="Times New Roman" w:hAnsi="Times New Roman" w:cs="Times New Roman"/>
          <w:b/>
          <w:sz w:val="26"/>
          <w:szCs w:val="26"/>
        </w:rPr>
        <w:t>5</w:t>
      </w:r>
      <w:r w:rsidR="00871CDF" w:rsidRPr="00871CDF">
        <w:rPr>
          <w:rFonts w:ascii="Times New Roman" w:hAnsi="Times New Roman" w:cs="Times New Roman"/>
          <w:b/>
          <w:sz w:val="26"/>
          <w:szCs w:val="26"/>
        </w:rPr>
        <w:t xml:space="preserve">. </w:t>
      </w:r>
      <w:r w:rsidR="00871CDF">
        <w:rPr>
          <w:rFonts w:ascii="Times New Roman" w:hAnsi="Times New Roman" w:cs="Times New Roman"/>
          <w:b/>
          <w:sz w:val="26"/>
          <w:szCs w:val="26"/>
        </w:rPr>
        <w:t>Conclusion</w:t>
      </w:r>
      <w:r w:rsidR="00337EA4" w:rsidRPr="00871CDF">
        <w:rPr>
          <w:rFonts w:ascii="Times New Roman" w:hAnsi="Times New Roman" w:cs="Times New Roman"/>
          <w:b/>
          <w:sz w:val="26"/>
          <w:szCs w:val="26"/>
        </w:rPr>
        <w:t xml:space="preserve"> </w:t>
      </w:r>
      <w:r w:rsidR="00871CDF">
        <w:rPr>
          <w:rFonts w:ascii="Times New Roman" w:hAnsi="Times New Roman" w:cs="Times New Roman"/>
          <w:b/>
          <w:sz w:val="26"/>
          <w:szCs w:val="26"/>
        </w:rPr>
        <w:t>and recommendation</w:t>
      </w:r>
    </w:p>
    <w:p w:rsidR="00167DCE" w:rsidRDefault="00BD7C62" w:rsidP="00865F7C">
      <w:pPr>
        <w:pStyle w:val="HTMLPreformatted"/>
        <w:shd w:val="clear" w:color="auto" w:fill="FFFFFF"/>
        <w:spacing w:before="120" w:after="120" w:line="360" w:lineRule="auto"/>
        <w:jc w:val="both"/>
        <w:rPr>
          <w:rFonts w:ascii="Times New Roman" w:hAnsi="Times New Roman" w:cs="Times New Roman"/>
          <w:sz w:val="26"/>
          <w:szCs w:val="26"/>
        </w:rPr>
      </w:pPr>
      <w:r w:rsidRPr="00865F7C">
        <w:rPr>
          <w:rFonts w:ascii="Times New Roman" w:hAnsi="Times New Roman" w:cs="Times New Roman"/>
          <w:sz w:val="26"/>
          <w:szCs w:val="26"/>
        </w:rPr>
        <w:t>The level of disclosure of voluntary information in the annual report is one of the important criteria for assessing the bank's transparency on the performance and effectiveness of monetary tradi</w:t>
      </w:r>
      <w:r w:rsidR="004213E5">
        <w:rPr>
          <w:rFonts w:ascii="Times New Roman" w:hAnsi="Times New Roman" w:cs="Times New Roman"/>
          <w:sz w:val="26"/>
          <w:szCs w:val="26"/>
        </w:rPr>
        <w:t>ng with investors and customer as well as other</w:t>
      </w:r>
      <w:r w:rsidRPr="00865F7C">
        <w:rPr>
          <w:rFonts w:ascii="Times New Roman" w:hAnsi="Times New Roman" w:cs="Times New Roman"/>
          <w:sz w:val="26"/>
          <w:szCs w:val="26"/>
        </w:rPr>
        <w:t xml:space="preserve"> public interest</w:t>
      </w:r>
      <w:r w:rsidR="004213E5">
        <w:rPr>
          <w:rFonts w:ascii="Times New Roman" w:hAnsi="Times New Roman" w:cs="Times New Roman"/>
          <w:sz w:val="26"/>
          <w:szCs w:val="26"/>
        </w:rPr>
        <w:t>ed users</w:t>
      </w:r>
      <w:r w:rsidRPr="00865F7C">
        <w:rPr>
          <w:rFonts w:ascii="Times New Roman" w:hAnsi="Times New Roman" w:cs="Times New Roman"/>
          <w:sz w:val="26"/>
          <w:szCs w:val="26"/>
        </w:rPr>
        <w:t xml:space="preserve">. According to </w:t>
      </w:r>
      <w:r w:rsidR="004213E5">
        <w:rPr>
          <w:rFonts w:ascii="Times New Roman" w:hAnsi="Times New Roman" w:cs="Times New Roman"/>
          <w:sz w:val="26"/>
          <w:szCs w:val="26"/>
        </w:rPr>
        <w:t>the findings of this study</w:t>
      </w:r>
      <w:r w:rsidRPr="00865F7C">
        <w:rPr>
          <w:rFonts w:ascii="Times New Roman" w:hAnsi="Times New Roman" w:cs="Times New Roman"/>
          <w:sz w:val="26"/>
          <w:szCs w:val="26"/>
        </w:rPr>
        <w:t xml:space="preserve">, the level of voluntary disclosure of commercial banks in Vietnam reached </w:t>
      </w:r>
      <w:proofErr w:type="gramStart"/>
      <w:r w:rsidRPr="00865F7C">
        <w:rPr>
          <w:rFonts w:ascii="Times New Roman" w:hAnsi="Times New Roman" w:cs="Times New Roman"/>
          <w:sz w:val="26"/>
          <w:szCs w:val="26"/>
        </w:rPr>
        <w:t>a</w:t>
      </w:r>
      <w:proofErr w:type="gramEnd"/>
      <w:r w:rsidRPr="00865F7C">
        <w:rPr>
          <w:rFonts w:ascii="Times New Roman" w:hAnsi="Times New Roman" w:cs="Times New Roman"/>
          <w:sz w:val="26"/>
          <w:szCs w:val="26"/>
        </w:rPr>
        <w:t xml:space="preserve"> average </w:t>
      </w:r>
      <w:r w:rsidR="004213E5">
        <w:rPr>
          <w:rFonts w:ascii="Times New Roman" w:hAnsi="Times New Roman" w:cs="Times New Roman"/>
          <w:sz w:val="26"/>
          <w:szCs w:val="26"/>
        </w:rPr>
        <w:t xml:space="preserve">level </w:t>
      </w:r>
      <w:r w:rsidRPr="00865F7C">
        <w:rPr>
          <w:rFonts w:ascii="Times New Roman" w:hAnsi="Times New Roman" w:cs="Times New Roman"/>
          <w:sz w:val="26"/>
          <w:szCs w:val="26"/>
        </w:rPr>
        <w:t>of 65%, at a better level than the re</w:t>
      </w:r>
      <w:r w:rsidR="004213E5">
        <w:rPr>
          <w:rFonts w:ascii="Times New Roman" w:hAnsi="Times New Roman" w:cs="Times New Roman"/>
          <w:sz w:val="26"/>
          <w:szCs w:val="26"/>
        </w:rPr>
        <w:t>search conducted in the country</w:t>
      </w:r>
      <w:r w:rsidRPr="00865F7C">
        <w:rPr>
          <w:rFonts w:ascii="Times New Roman" w:hAnsi="Times New Roman" w:cs="Times New Roman"/>
          <w:sz w:val="26"/>
          <w:szCs w:val="26"/>
        </w:rPr>
        <w:t xml:space="preserve"> Libya (36%), Ethiopia (38%) and India (25%). Of the total sample of 21 commercial banks, VCB and CTB were the two banks with </w:t>
      </w:r>
      <w:r w:rsidRPr="00865F7C">
        <w:rPr>
          <w:rFonts w:ascii="Times New Roman" w:hAnsi="Times New Roman" w:cs="Times New Roman"/>
          <w:sz w:val="26"/>
          <w:szCs w:val="26"/>
        </w:rPr>
        <w:lastRenderedPageBreak/>
        <w:t xml:space="preserve">the highest level of information disclosure of 97%. Lowest is SGB with 23% disclosure level. </w:t>
      </w:r>
      <w:r w:rsidR="004213E5">
        <w:rPr>
          <w:rFonts w:ascii="Times New Roman" w:hAnsi="Times New Roman" w:cs="Times New Roman"/>
          <w:sz w:val="26"/>
          <w:szCs w:val="26"/>
        </w:rPr>
        <w:t>Information of v</w:t>
      </w:r>
      <w:r w:rsidRPr="00865F7C">
        <w:rPr>
          <w:rFonts w:ascii="Times New Roman" w:hAnsi="Times New Roman" w:cs="Times New Roman"/>
          <w:sz w:val="26"/>
          <w:szCs w:val="26"/>
        </w:rPr>
        <w:t xml:space="preserve">oluntary disclosures are divided into four groups, with the most comprehensive disclosure of bank information, followed by information on the governance system in the bank. This shows that banks pay close attention to the transparency of the organization and the performance of the board of directors, the experience and the ability to manage the operations of senior executives. Bank. The Bank also focused on persuading investors about the transparency of banking operations including risk management, human resources management, liquidity management, etc. The level of information disclosure is 58%, reaching the average. The lowest among the four information groups was social </w:t>
      </w:r>
      <w:r w:rsidR="004213E5">
        <w:rPr>
          <w:rFonts w:ascii="Times New Roman" w:hAnsi="Times New Roman" w:cs="Times New Roman"/>
          <w:sz w:val="26"/>
          <w:szCs w:val="26"/>
        </w:rPr>
        <w:t>responsibility with the rate</w:t>
      </w:r>
      <w:r w:rsidRPr="00865F7C">
        <w:rPr>
          <w:rFonts w:ascii="Times New Roman" w:hAnsi="Times New Roman" w:cs="Times New Roman"/>
          <w:sz w:val="26"/>
          <w:szCs w:val="26"/>
        </w:rPr>
        <w:t xml:space="preserve"> </w:t>
      </w:r>
      <w:r w:rsidR="004213E5">
        <w:rPr>
          <w:rFonts w:ascii="Times New Roman" w:hAnsi="Times New Roman" w:cs="Times New Roman"/>
          <w:sz w:val="26"/>
          <w:szCs w:val="26"/>
        </w:rPr>
        <w:t>of</w:t>
      </w:r>
      <w:r w:rsidRPr="00865F7C">
        <w:rPr>
          <w:rFonts w:ascii="Times New Roman" w:hAnsi="Times New Roman" w:cs="Times New Roman"/>
          <w:sz w:val="26"/>
          <w:szCs w:val="26"/>
        </w:rPr>
        <w:t xml:space="preserve"> only 30%. This is explained in an annual report of several banks, such as HDB, NVB and VIB, because in recent years, currency trading and payment services have become difficult due to </w:t>
      </w:r>
      <w:r w:rsidR="004213E5">
        <w:rPr>
          <w:rFonts w:ascii="Times New Roman" w:hAnsi="Times New Roman" w:cs="Times New Roman"/>
          <w:sz w:val="26"/>
          <w:szCs w:val="26"/>
        </w:rPr>
        <w:t>h</w:t>
      </w:r>
      <w:r w:rsidRPr="00865F7C">
        <w:rPr>
          <w:rFonts w:ascii="Times New Roman" w:hAnsi="Times New Roman" w:cs="Times New Roman"/>
          <w:sz w:val="26"/>
          <w:szCs w:val="26"/>
        </w:rPr>
        <w:t xml:space="preserve">igh competition among domestic commercial banks, some banks are focusing on maintaining and enhancing operational efficiency, so they have not yet arranged the time and resources to finance the programs. charity, social activities of the local </w:t>
      </w:r>
      <w:r w:rsidR="004213E5">
        <w:rPr>
          <w:rFonts w:ascii="Times New Roman" w:hAnsi="Times New Roman" w:cs="Times New Roman"/>
          <w:sz w:val="26"/>
          <w:szCs w:val="26"/>
        </w:rPr>
        <w:t>as well as</w:t>
      </w:r>
      <w:r w:rsidRPr="00865F7C">
        <w:rPr>
          <w:rFonts w:ascii="Times New Roman" w:hAnsi="Times New Roman" w:cs="Times New Roman"/>
          <w:sz w:val="26"/>
          <w:szCs w:val="26"/>
        </w:rPr>
        <w:t xml:space="preserve"> the </w:t>
      </w:r>
      <w:r w:rsidR="004213E5">
        <w:rPr>
          <w:rFonts w:ascii="Times New Roman" w:hAnsi="Times New Roman" w:cs="Times New Roman"/>
          <w:sz w:val="26"/>
          <w:szCs w:val="26"/>
        </w:rPr>
        <w:t>country</w:t>
      </w:r>
      <w:r w:rsidRPr="00865F7C">
        <w:rPr>
          <w:rFonts w:ascii="Times New Roman" w:hAnsi="Times New Roman" w:cs="Times New Roman"/>
          <w:sz w:val="26"/>
          <w:szCs w:val="26"/>
        </w:rPr>
        <w:t>. The large banks still maintain good social activities to enhance the ima</w:t>
      </w:r>
      <w:r w:rsidR="004213E5">
        <w:rPr>
          <w:rFonts w:ascii="Times New Roman" w:hAnsi="Times New Roman" w:cs="Times New Roman"/>
          <w:sz w:val="26"/>
          <w:szCs w:val="26"/>
        </w:rPr>
        <w:t>ge of the bank in the public</w:t>
      </w:r>
      <w:r w:rsidRPr="00865F7C">
        <w:rPr>
          <w:rFonts w:ascii="Times New Roman" w:hAnsi="Times New Roman" w:cs="Times New Roman"/>
          <w:sz w:val="26"/>
          <w:szCs w:val="26"/>
        </w:rPr>
        <w:t xml:space="preserve">, contributing to promoting the brand name </w:t>
      </w:r>
      <w:r w:rsidR="00DE1080">
        <w:rPr>
          <w:rFonts w:ascii="Times New Roman" w:hAnsi="Times New Roman" w:cs="Times New Roman"/>
          <w:sz w:val="26"/>
          <w:szCs w:val="26"/>
        </w:rPr>
        <w:t>“</w:t>
      </w:r>
      <w:r w:rsidRPr="00865F7C">
        <w:rPr>
          <w:rFonts w:ascii="Times New Roman" w:hAnsi="Times New Roman" w:cs="Times New Roman"/>
          <w:sz w:val="26"/>
          <w:szCs w:val="26"/>
        </w:rPr>
        <w:t>green bank</w:t>
      </w:r>
      <w:r w:rsidR="00DE1080">
        <w:rPr>
          <w:rFonts w:ascii="Times New Roman" w:hAnsi="Times New Roman" w:cs="Times New Roman"/>
          <w:sz w:val="26"/>
          <w:szCs w:val="26"/>
        </w:rPr>
        <w:t>”</w:t>
      </w:r>
      <w:r w:rsidRPr="00865F7C">
        <w:rPr>
          <w:rFonts w:ascii="Times New Roman" w:hAnsi="Times New Roman" w:cs="Times New Roman"/>
          <w:sz w:val="26"/>
          <w:szCs w:val="26"/>
        </w:rPr>
        <w:t>, customer friendly banks and investors private</w:t>
      </w:r>
      <w:r w:rsidR="004213E5">
        <w:rPr>
          <w:rFonts w:ascii="Times New Roman" w:hAnsi="Times New Roman" w:cs="Times New Roman"/>
          <w:sz w:val="26"/>
          <w:szCs w:val="26"/>
        </w:rPr>
        <w:t>.</w:t>
      </w:r>
      <w:r w:rsidRPr="00865F7C">
        <w:rPr>
          <w:rFonts w:ascii="Times New Roman" w:hAnsi="Times New Roman" w:cs="Times New Roman"/>
          <w:sz w:val="26"/>
          <w:szCs w:val="26"/>
        </w:rPr>
        <w:t xml:space="preserve"> </w:t>
      </w:r>
    </w:p>
    <w:p w:rsidR="006309CD" w:rsidRDefault="00BD7C62" w:rsidP="00865F7C">
      <w:pPr>
        <w:pStyle w:val="HTMLPreformatted"/>
        <w:shd w:val="clear" w:color="auto" w:fill="FFFFFF"/>
        <w:spacing w:before="120" w:after="120" w:line="360" w:lineRule="auto"/>
        <w:jc w:val="both"/>
        <w:rPr>
          <w:rFonts w:ascii="Times New Roman" w:hAnsi="Times New Roman" w:cs="Times New Roman"/>
          <w:sz w:val="26"/>
          <w:szCs w:val="26"/>
        </w:rPr>
      </w:pPr>
      <w:r w:rsidRPr="00865F7C">
        <w:rPr>
          <w:rFonts w:ascii="Times New Roman" w:hAnsi="Times New Roman" w:cs="Times New Roman"/>
          <w:sz w:val="26"/>
          <w:szCs w:val="26"/>
        </w:rPr>
        <w:t xml:space="preserve">In the course of this research, </w:t>
      </w:r>
      <w:r w:rsidR="00DE1080">
        <w:rPr>
          <w:rFonts w:ascii="Times New Roman" w:hAnsi="Times New Roman" w:cs="Times New Roman"/>
          <w:sz w:val="26"/>
          <w:szCs w:val="26"/>
        </w:rPr>
        <w:t>it</w:t>
      </w:r>
      <w:r w:rsidRPr="00865F7C">
        <w:rPr>
          <w:rFonts w:ascii="Times New Roman" w:hAnsi="Times New Roman" w:cs="Times New Roman"/>
          <w:sz w:val="26"/>
          <w:szCs w:val="26"/>
        </w:rPr>
        <w:t xml:space="preserve"> has </w:t>
      </w:r>
      <w:r w:rsidR="00DE1080">
        <w:rPr>
          <w:rFonts w:ascii="Times New Roman" w:hAnsi="Times New Roman" w:cs="Times New Roman"/>
          <w:sz w:val="26"/>
          <w:szCs w:val="26"/>
        </w:rPr>
        <w:t xml:space="preserve">been </w:t>
      </w:r>
      <w:r w:rsidRPr="00865F7C">
        <w:rPr>
          <w:rFonts w:ascii="Times New Roman" w:hAnsi="Times New Roman" w:cs="Times New Roman"/>
          <w:sz w:val="26"/>
          <w:szCs w:val="26"/>
        </w:rPr>
        <w:t xml:space="preserve">noticed </w:t>
      </w:r>
      <w:r w:rsidR="00DE1080">
        <w:rPr>
          <w:rFonts w:ascii="Times New Roman" w:hAnsi="Times New Roman" w:cs="Times New Roman"/>
          <w:sz w:val="26"/>
          <w:szCs w:val="26"/>
        </w:rPr>
        <w:t xml:space="preserve">that there are </w:t>
      </w:r>
      <w:r w:rsidRPr="00865F7C">
        <w:rPr>
          <w:rFonts w:ascii="Times New Roman" w:hAnsi="Times New Roman" w:cs="Times New Roman"/>
          <w:sz w:val="26"/>
          <w:szCs w:val="26"/>
        </w:rPr>
        <w:t>some limitations and difficulties that the subject encountered</w:t>
      </w:r>
      <w:r w:rsidR="006309CD">
        <w:rPr>
          <w:rFonts w:ascii="Times New Roman" w:hAnsi="Times New Roman" w:cs="Times New Roman"/>
          <w:sz w:val="26"/>
          <w:szCs w:val="26"/>
        </w:rPr>
        <w:t>.</w:t>
      </w:r>
      <w:r w:rsidRPr="00865F7C">
        <w:rPr>
          <w:rFonts w:ascii="Times New Roman" w:hAnsi="Times New Roman" w:cs="Times New Roman"/>
          <w:sz w:val="26"/>
          <w:szCs w:val="26"/>
        </w:rPr>
        <w:t xml:space="preserve"> </w:t>
      </w:r>
      <w:r w:rsidR="006309CD">
        <w:rPr>
          <w:rFonts w:ascii="Times New Roman" w:hAnsi="Times New Roman" w:cs="Times New Roman"/>
          <w:sz w:val="26"/>
          <w:szCs w:val="26"/>
        </w:rPr>
        <w:t>Firstly, t</w:t>
      </w:r>
      <w:r w:rsidRPr="00865F7C">
        <w:rPr>
          <w:rFonts w:ascii="Times New Roman" w:hAnsi="Times New Roman" w:cs="Times New Roman"/>
          <w:sz w:val="26"/>
          <w:szCs w:val="26"/>
        </w:rPr>
        <w:t xml:space="preserve">he </w:t>
      </w:r>
      <w:r w:rsidR="006309CD">
        <w:rPr>
          <w:rFonts w:ascii="Times New Roman" w:hAnsi="Times New Roman" w:cs="Times New Roman"/>
          <w:sz w:val="26"/>
          <w:szCs w:val="26"/>
        </w:rPr>
        <w:t xml:space="preserve">study </w:t>
      </w:r>
      <w:r w:rsidR="00CD4DF0">
        <w:rPr>
          <w:rFonts w:ascii="Times New Roman" w:hAnsi="Times New Roman" w:cs="Times New Roman"/>
          <w:sz w:val="26"/>
          <w:szCs w:val="26"/>
        </w:rPr>
        <w:t>used</w:t>
      </w:r>
      <w:r w:rsidRPr="00865F7C">
        <w:rPr>
          <w:rFonts w:ascii="Times New Roman" w:hAnsi="Times New Roman" w:cs="Times New Roman"/>
          <w:sz w:val="26"/>
          <w:szCs w:val="26"/>
        </w:rPr>
        <w:t xml:space="preserve"> only commercial banks' annual reports </w:t>
      </w:r>
      <w:r w:rsidR="00744FF9">
        <w:rPr>
          <w:rFonts w:ascii="Times New Roman" w:hAnsi="Times New Roman" w:cs="Times New Roman"/>
          <w:sz w:val="26"/>
          <w:szCs w:val="26"/>
        </w:rPr>
        <w:t>in</w:t>
      </w:r>
      <w:r w:rsidR="006309CD">
        <w:rPr>
          <w:rFonts w:ascii="Times New Roman" w:hAnsi="Times New Roman" w:cs="Times New Roman"/>
          <w:sz w:val="26"/>
          <w:szCs w:val="26"/>
        </w:rPr>
        <w:t xml:space="preserve"> 2016 </w:t>
      </w:r>
      <w:r w:rsidRPr="00865F7C">
        <w:rPr>
          <w:rFonts w:ascii="Times New Roman" w:hAnsi="Times New Roman" w:cs="Times New Roman"/>
          <w:sz w:val="26"/>
          <w:szCs w:val="26"/>
        </w:rPr>
        <w:t xml:space="preserve">should be limited to the financial year, which may ignore the impact of local factors, meaning that the effect only occurs in a certain time. Conclusion may be different if the study is conducted over several financial years. </w:t>
      </w:r>
      <w:r w:rsidR="006309CD">
        <w:rPr>
          <w:rFonts w:ascii="Times New Roman" w:hAnsi="Times New Roman" w:cs="Times New Roman"/>
          <w:sz w:val="26"/>
          <w:szCs w:val="26"/>
        </w:rPr>
        <w:t>In addition, t</w:t>
      </w:r>
      <w:r w:rsidRPr="00865F7C">
        <w:rPr>
          <w:rFonts w:ascii="Times New Roman" w:hAnsi="Times New Roman" w:cs="Times New Roman"/>
          <w:sz w:val="26"/>
          <w:szCs w:val="26"/>
        </w:rPr>
        <w:t xml:space="preserve">his study used a descriptive statistical method and a results-based evaluation with visual insights from the data, not applying regression models with higher confidence levels. </w:t>
      </w:r>
    </w:p>
    <w:p w:rsidR="006309CD" w:rsidRDefault="00BD7C62" w:rsidP="00865F7C">
      <w:pPr>
        <w:pStyle w:val="HTMLPreformatted"/>
        <w:shd w:val="clear" w:color="auto" w:fill="FFFFFF"/>
        <w:spacing w:before="120" w:after="120" w:line="360" w:lineRule="auto"/>
        <w:jc w:val="both"/>
        <w:rPr>
          <w:rFonts w:ascii="Times New Roman" w:hAnsi="Times New Roman" w:cs="Times New Roman"/>
          <w:sz w:val="26"/>
          <w:szCs w:val="26"/>
        </w:rPr>
      </w:pPr>
      <w:r w:rsidRPr="00865F7C">
        <w:rPr>
          <w:rFonts w:ascii="Times New Roman" w:hAnsi="Times New Roman" w:cs="Times New Roman"/>
          <w:sz w:val="26"/>
          <w:szCs w:val="26"/>
        </w:rPr>
        <w:t xml:space="preserve">In the coming time, </w:t>
      </w:r>
      <w:r w:rsidR="006309CD">
        <w:rPr>
          <w:rFonts w:ascii="Times New Roman" w:hAnsi="Times New Roman" w:cs="Times New Roman"/>
          <w:sz w:val="26"/>
          <w:szCs w:val="26"/>
        </w:rPr>
        <w:t>other studies</w:t>
      </w:r>
      <w:r w:rsidRPr="00865F7C">
        <w:rPr>
          <w:rFonts w:ascii="Times New Roman" w:hAnsi="Times New Roman" w:cs="Times New Roman"/>
          <w:sz w:val="26"/>
          <w:szCs w:val="26"/>
        </w:rPr>
        <w:t xml:space="preserve"> will continue to conduct research on information disclosure of Vietnamese commercial banks in the direction of empirical research on the factors affecting the level of voluntary disclosure, not just a single factor. The study period is not limited to one fiscal year but will extend the study over 3-5 years to make the conclusions more objective and convincing. As a result, commercial banks may be </w:t>
      </w:r>
      <w:r w:rsidRPr="00865F7C">
        <w:rPr>
          <w:rFonts w:ascii="Times New Roman" w:hAnsi="Times New Roman" w:cs="Times New Roman"/>
          <w:sz w:val="26"/>
          <w:szCs w:val="26"/>
        </w:rPr>
        <w:lastRenderedPageBreak/>
        <w:t xml:space="preserve">more aware of the need to be transparent about their operations on bank statements, to improve the level of disclosure, and improve </w:t>
      </w:r>
      <w:r w:rsidR="00CD4DF0" w:rsidRPr="00865F7C">
        <w:rPr>
          <w:rFonts w:ascii="Times New Roman" w:hAnsi="Times New Roman" w:cs="Times New Roman"/>
          <w:sz w:val="26"/>
          <w:szCs w:val="26"/>
        </w:rPr>
        <w:t>tran</w:t>
      </w:r>
      <w:r w:rsidR="00CD4DF0">
        <w:rPr>
          <w:rFonts w:ascii="Times New Roman" w:hAnsi="Times New Roman" w:cs="Times New Roman"/>
          <w:sz w:val="26"/>
          <w:szCs w:val="26"/>
        </w:rPr>
        <w:t>sparency;</w:t>
      </w:r>
      <w:r w:rsidR="006309CD">
        <w:rPr>
          <w:rFonts w:ascii="Times New Roman" w:hAnsi="Times New Roman" w:cs="Times New Roman"/>
          <w:sz w:val="26"/>
          <w:szCs w:val="26"/>
        </w:rPr>
        <w:t xml:space="preserve"> assisting invertors make right decisions for their investment.</w:t>
      </w:r>
    </w:p>
    <w:p w:rsidR="004C0F3D" w:rsidRDefault="004C0F3D" w:rsidP="00865F7C">
      <w:pPr>
        <w:pStyle w:val="HTMLPreformatted"/>
        <w:shd w:val="clear" w:color="auto" w:fill="FFFFFF"/>
        <w:spacing w:before="120" w:after="120" w:line="360" w:lineRule="auto"/>
        <w:jc w:val="both"/>
        <w:rPr>
          <w:rFonts w:ascii="Times New Roman" w:hAnsi="Times New Roman" w:cs="Times New Roman"/>
          <w:sz w:val="26"/>
          <w:szCs w:val="26"/>
        </w:rPr>
        <w:sectPr w:rsidR="004C0F3D" w:rsidSect="00360AF8">
          <w:pgSz w:w="11907" w:h="16839" w:code="9"/>
          <w:pgMar w:top="1440" w:right="1440" w:bottom="1440" w:left="1440" w:header="720" w:footer="720" w:gutter="0"/>
          <w:cols w:space="720"/>
          <w:docGrid w:linePitch="360"/>
        </w:sectPr>
      </w:pPr>
    </w:p>
    <w:p w:rsidR="004C0F3D" w:rsidRDefault="004C0F3D" w:rsidP="004C0F3D">
      <w:pPr>
        <w:pStyle w:val="HTMLPreformatted"/>
        <w:shd w:val="clear" w:color="auto" w:fill="FFFFFF"/>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lastRenderedPageBreak/>
        <w:t>REFERENCES</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Abdallah AL-Mahdy M.D Hawashe (2014), </w:t>
      </w:r>
      <w:r w:rsidRPr="00732210">
        <w:rPr>
          <w:i/>
          <w:color w:val="auto"/>
          <w:sz w:val="26"/>
          <w:szCs w:val="26"/>
        </w:rPr>
        <w:t>An Evaluation of Voluntary disclosure in the annual reports of commercial banks: Empirical evidence from Libya</w:t>
      </w:r>
      <w:r w:rsidRPr="00732210">
        <w:rPr>
          <w:color w:val="auto"/>
          <w:sz w:val="26"/>
          <w:szCs w:val="26"/>
        </w:rPr>
        <w:t xml:space="preserve">, Submitted in Partial Fulfillment of the Requirements of the Degree of Doctor of Philosophy, Jan 2014. </w:t>
      </w:r>
    </w:p>
    <w:p w:rsidR="004C0F3D" w:rsidRPr="00732210" w:rsidRDefault="004C0F3D" w:rsidP="004C0F3D">
      <w:pPr>
        <w:pStyle w:val="Default"/>
        <w:numPr>
          <w:ilvl w:val="0"/>
          <w:numId w:val="9"/>
        </w:numPr>
        <w:spacing w:before="120" w:after="120"/>
        <w:ind w:left="540" w:hanging="540"/>
        <w:jc w:val="both"/>
        <w:rPr>
          <w:sz w:val="26"/>
          <w:szCs w:val="26"/>
        </w:rPr>
      </w:pPr>
      <w:r w:rsidRPr="00732210">
        <w:rPr>
          <w:sz w:val="26"/>
          <w:szCs w:val="26"/>
        </w:rPr>
        <w:t xml:space="preserve">Abdul Hamid, F. (2004). Corporate social disclosure by banks and finance companies: Malaysian evidence. </w:t>
      </w:r>
      <w:r w:rsidRPr="00732210">
        <w:rPr>
          <w:i/>
          <w:iCs/>
          <w:sz w:val="26"/>
          <w:szCs w:val="26"/>
        </w:rPr>
        <w:t>Corporate Ownership and Control</w:t>
      </w:r>
      <w:r w:rsidRPr="00732210">
        <w:rPr>
          <w:iCs/>
          <w:sz w:val="26"/>
          <w:szCs w:val="26"/>
        </w:rPr>
        <w:t>, 1</w:t>
      </w:r>
      <w:r w:rsidRPr="00732210">
        <w:rPr>
          <w:sz w:val="26"/>
          <w:szCs w:val="26"/>
        </w:rPr>
        <w:t xml:space="preserve">(4), pp.118-130. </w:t>
      </w:r>
    </w:p>
    <w:p w:rsidR="004C0F3D" w:rsidRPr="00732210" w:rsidRDefault="004C0F3D" w:rsidP="004C0F3D">
      <w:pPr>
        <w:pStyle w:val="Default"/>
        <w:numPr>
          <w:ilvl w:val="0"/>
          <w:numId w:val="9"/>
        </w:numPr>
        <w:spacing w:before="120" w:after="120"/>
        <w:ind w:left="540" w:hanging="540"/>
        <w:jc w:val="both"/>
        <w:rPr>
          <w:sz w:val="26"/>
          <w:szCs w:val="26"/>
        </w:rPr>
      </w:pPr>
      <w:r w:rsidRPr="00732210">
        <w:rPr>
          <w:sz w:val="26"/>
          <w:szCs w:val="26"/>
        </w:rPr>
        <w:t xml:space="preserve">Adams, M., and Hossain, M. (1989). Managerial discretion and voluntary disclosure: empirical evidence from the New Zealand life insurance industry. </w:t>
      </w:r>
      <w:r w:rsidRPr="00732210">
        <w:rPr>
          <w:i/>
          <w:iCs/>
          <w:sz w:val="26"/>
          <w:szCs w:val="26"/>
        </w:rPr>
        <w:t>Journal of Accounting and Public Policy</w:t>
      </w:r>
      <w:r w:rsidRPr="00732210">
        <w:rPr>
          <w:iCs/>
          <w:sz w:val="26"/>
          <w:szCs w:val="26"/>
        </w:rPr>
        <w:t>, 17</w:t>
      </w:r>
      <w:r w:rsidRPr="00732210">
        <w:rPr>
          <w:sz w:val="26"/>
          <w:szCs w:val="26"/>
        </w:rPr>
        <w:t xml:space="preserve">, pp. 245-281. </w:t>
      </w:r>
    </w:p>
    <w:p w:rsidR="004C0F3D" w:rsidRPr="00732210" w:rsidRDefault="004C0F3D" w:rsidP="004C0F3D">
      <w:pPr>
        <w:pStyle w:val="Default"/>
        <w:numPr>
          <w:ilvl w:val="0"/>
          <w:numId w:val="9"/>
        </w:numPr>
        <w:spacing w:before="120" w:after="120"/>
        <w:ind w:left="540" w:hanging="540"/>
        <w:jc w:val="both"/>
        <w:rPr>
          <w:sz w:val="26"/>
          <w:szCs w:val="26"/>
        </w:rPr>
      </w:pPr>
      <w:r w:rsidRPr="00732210">
        <w:rPr>
          <w:sz w:val="26"/>
          <w:szCs w:val="26"/>
        </w:rPr>
        <w:t xml:space="preserve">Agyei-Mensah, B. K. (2012). Association between firm-specific characteristics and levels of disclosure of financial information of rural banks in the Ashanti region of Ghana. </w:t>
      </w:r>
      <w:r w:rsidRPr="00732210">
        <w:rPr>
          <w:i/>
          <w:iCs/>
          <w:sz w:val="26"/>
          <w:szCs w:val="26"/>
        </w:rPr>
        <w:t xml:space="preserve">Journal of Applied Finance and Banking, </w:t>
      </w:r>
      <w:r w:rsidRPr="00732210">
        <w:rPr>
          <w:iCs/>
          <w:sz w:val="26"/>
          <w:szCs w:val="26"/>
        </w:rPr>
        <w:t>2</w:t>
      </w:r>
      <w:r w:rsidRPr="00732210">
        <w:rPr>
          <w:sz w:val="26"/>
          <w:szCs w:val="26"/>
        </w:rPr>
        <w:t xml:space="preserve">(1), pp. 69-92.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Akhtaruddin, M. (2005), </w:t>
      </w:r>
      <w:r w:rsidRPr="00732210">
        <w:rPr>
          <w:i/>
          <w:color w:val="auto"/>
          <w:sz w:val="26"/>
          <w:szCs w:val="26"/>
        </w:rPr>
        <w:t>Corporate Mandatory Disclosure Practices in Bangladesh</w:t>
      </w:r>
      <w:r w:rsidRPr="00732210">
        <w:rPr>
          <w:color w:val="auto"/>
          <w:sz w:val="26"/>
          <w:szCs w:val="26"/>
        </w:rPr>
        <w:t>, International Journal of Accounting, 40, pp. 399-422.</w:t>
      </w:r>
    </w:p>
    <w:p w:rsidR="004C0F3D" w:rsidRPr="00732210" w:rsidRDefault="004C0F3D" w:rsidP="004C0F3D">
      <w:pPr>
        <w:pStyle w:val="Default"/>
        <w:widowControl w:val="0"/>
        <w:numPr>
          <w:ilvl w:val="0"/>
          <w:numId w:val="9"/>
        </w:numPr>
        <w:spacing w:before="120" w:after="120"/>
        <w:ind w:left="547" w:hanging="547"/>
        <w:jc w:val="both"/>
        <w:rPr>
          <w:color w:val="auto"/>
          <w:sz w:val="26"/>
          <w:szCs w:val="26"/>
        </w:rPr>
      </w:pPr>
      <w:r w:rsidRPr="00732210">
        <w:rPr>
          <w:color w:val="auto"/>
          <w:sz w:val="26"/>
          <w:szCs w:val="26"/>
        </w:rPr>
        <w:t xml:space="preserve">Akhtaruddin, M., Hossain, M. A., Hossain, M., and Yao Lee (2009). Corporate governance and voluntary disclosure in corporate annual reports of Malaysian listed firms. </w:t>
      </w:r>
      <w:r w:rsidRPr="00732210">
        <w:rPr>
          <w:i/>
          <w:iCs/>
          <w:color w:val="auto"/>
          <w:sz w:val="26"/>
          <w:szCs w:val="26"/>
        </w:rPr>
        <w:t>The Journal of Applied Management Accounting Research</w:t>
      </w:r>
      <w:r w:rsidRPr="00732210">
        <w:rPr>
          <w:color w:val="auto"/>
          <w:sz w:val="26"/>
          <w:szCs w:val="26"/>
        </w:rPr>
        <w:t xml:space="preserve">, </w:t>
      </w:r>
      <w:r w:rsidRPr="00732210">
        <w:rPr>
          <w:iCs/>
          <w:color w:val="auto"/>
          <w:sz w:val="26"/>
          <w:szCs w:val="26"/>
        </w:rPr>
        <w:t>7</w:t>
      </w:r>
      <w:r w:rsidRPr="00732210">
        <w:rPr>
          <w:color w:val="auto"/>
          <w:sz w:val="26"/>
          <w:szCs w:val="26"/>
        </w:rPr>
        <w:t xml:space="preserve">(1), pp.1-20.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Alim al Ayub Ahmed, (2009) </w:t>
      </w:r>
      <w:r w:rsidRPr="00732210">
        <w:rPr>
          <w:i/>
          <w:color w:val="auto"/>
          <w:sz w:val="26"/>
          <w:szCs w:val="26"/>
        </w:rPr>
        <w:t>An empirical analysis of performance measurement of the disclosure on financial reporting: a study of banking sector in Bangladesh</w:t>
      </w:r>
      <w:r w:rsidRPr="00732210">
        <w:rPr>
          <w:color w:val="auto"/>
          <w:sz w:val="26"/>
          <w:szCs w:val="26"/>
        </w:rPr>
        <w:t>. Submitted in Partial Fulfillment of the Requirements of the Degree of Doctor of Philosophy.</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Barako, D. G., and Brown, A. M. (2008). Corporate social reporting and board representation: evidence from the Kenyan banking sector. </w:t>
      </w:r>
      <w:r w:rsidRPr="00732210">
        <w:rPr>
          <w:i/>
          <w:iCs/>
          <w:color w:val="auto"/>
          <w:sz w:val="26"/>
          <w:szCs w:val="26"/>
        </w:rPr>
        <w:t xml:space="preserve">Journal of Management Governance, </w:t>
      </w:r>
      <w:r w:rsidRPr="00732210">
        <w:rPr>
          <w:iCs/>
          <w:color w:val="auto"/>
          <w:sz w:val="26"/>
          <w:szCs w:val="26"/>
        </w:rPr>
        <w:t>12</w:t>
      </w:r>
      <w:r w:rsidRPr="00732210">
        <w:rPr>
          <w:color w:val="auto"/>
          <w:sz w:val="26"/>
          <w:szCs w:val="26"/>
        </w:rPr>
        <w:t xml:space="preserve">, pp.309-324.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Choi, F.D.S (1973). Financial disclosure and entry to the European capital market. </w:t>
      </w:r>
      <w:r w:rsidRPr="00732210">
        <w:rPr>
          <w:i/>
          <w:iCs/>
          <w:color w:val="auto"/>
          <w:sz w:val="26"/>
          <w:szCs w:val="26"/>
        </w:rPr>
        <w:t xml:space="preserve">Journal of Accounting Research, </w:t>
      </w:r>
      <w:r w:rsidRPr="00732210">
        <w:rPr>
          <w:iCs/>
          <w:color w:val="auto"/>
          <w:sz w:val="26"/>
          <w:szCs w:val="26"/>
        </w:rPr>
        <w:t>11</w:t>
      </w:r>
      <w:r w:rsidRPr="00732210">
        <w:rPr>
          <w:color w:val="auto"/>
          <w:sz w:val="26"/>
          <w:szCs w:val="26"/>
        </w:rPr>
        <w:t xml:space="preserve">(2), pp.159-175. </w:t>
      </w:r>
    </w:p>
    <w:p w:rsidR="004C0F3D" w:rsidRPr="00732210" w:rsidRDefault="004C0F3D" w:rsidP="004C0F3D">
      <w:pPr>
        <w:pStyle w:val="Default"/>
        <w:widowControl w:val="0"/>
        <w:numPr>
          <w:ilvl w:val="0"/>
          <w:numId w:val="9"/>
        </w:numPr>
        <w:spacing w:before="120" w:after="120"/>
        <w:ind w:left="547" w:hanging="547"/>
        <w:jc w:val="both"/>
        <w:rPr>
          <w:color w:val="auto"/>
          <w:sz w:val="26"/>
          <w:szCs w:val="26"/>
        </w:rPr>
      </w:pPr>
      <w:r w:rsidRPr="00732210">
        <w:rPr>
          <w:color w:val="auto"/>
          <w:sz w:val="26"/>
          <w:szCs w:val="26"/>
        </w:rPr>
        <w:t xml:space="preserve">Chow, C. W., and Wong-Boren, A. (1987). Voluntary financial disclosure by Mexican corporations. </w:t>
      </w:r>
      <w:r w:rsidRPr="00732210">
        <w:rPr>
          <w:i/>
          <w:iCs/>
          <w:color w:val="auto"/>
          <w:sz w:val="26"/>
          <w:szCs w:val="26"/>
        </w:rPr>
        <w:t xml:space="preserve">The Accounting Review, </w:t>
      </w:r>
      <w:r w:rsidRPr="00732210">
        <w:rPr>
          <w:iCs/>
          <w:color w:val="auto"/>
          <w:sz w:val="26"/>
          <w:szCs w:val="26"/>
        </w:rPr>
        <w:t>62</w:t>
      </w:r>
      <w:r w:rsidRPr="00732210">
        <w:rPr>
          <w:color w:val="auto"/>
          <w:sz w:val="26"/>
          <w:szCs w:val="26"/>
        </w:rPr>
        <w:t xml:space="preserve">(3), pp.533-541.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Collett, P., and Hrasky, S. (2005). Voluntary disclosure of corporate governance practices by listed Australian companies. </w:t>
      </w:r>
      <w:r w:rsidRPr="00732210">
        <w:rPr>
          <w:i/>
          <w:iCs/>
          <w:color w:val="auto"/>
          <w:sz w:val="26"/>
          <w:szCs w:val="26"/>
        </w:rPr>
        <w:t>Corporate Governance</w:t>
      </w:r>
      <w:r w:rsidRPr="00732210">
        <w:rPr>
          <w:iCs/>
          <w:color w:val="auto"/>
          <w:sz w:val="26"/>
          <w:szCs w:val="26"/>
        </w:rPr>
        <w:t>, 13</w:t>
      </w:r>
      <w:r w:rsidRPr="00732210">
        <w:rPr>
          <w:color w:val="auto"/>
          <w:sz w:val="26"/>
          <w:szCs w:val="26"/>
        </w:rPr>
        <w:t xml:space="preserve">(2), pp.188-196.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Cooke, T. E. (1989a). Voluntary corporate disclosure by Swedish companies. </w:t>
      </w:r>
      <w:r w:rsidRPr="00732210">
        <w:rPr>
          <w:i/>
          <w:iCs/>
          <w:color w:val="auto"/>
          <w:sz w:val="26"/>
          <w:szCs w:val="26"/>
        </w:rPr>
        <w:t>Journal of International Financial Management and Accounting</w:t>
      </w:r>
      <w:r w:rsidRPr="00732210">
        <w:rPr>
          <w:iCs/>
          <w:color w:val="auto"/>
          <w:sz w:val="26"/>
          <w:szCs w:val="26"/>
        </w:rPr>
        <w:t>, 1</w:t>
      </w:r>
      <w:r w:rsidRPr="00732210">
        <w:rPr>
          <w:color w:val="auto"/>
          <w:sz w:val="26"/>
          <w:szCs w:val="26"/>
        </w:rPr>
        <w:t xml:space="preserve">(2), pp.171-195.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Cooke, T. E. (1992). The impact of size, stock market listing and industry type on disclosure in the annual reports of Japanese listed corporations. </w:t>
      </w:r>
      <w:r w:rsidRPr="00732210">
        <w:rPr>
          <w:i/>
          <w:iCs/>
          <w:color w:val="auto"/>
          <w:sz w:val="26"/>
          <w:szCs w:val="26"/>
        </w:rPr>
        <w:t>Accounting and Business Research</w:t>
      </w:r>
      <w:r w:rsidRPr="00732210">
        <w:rPr>
          <w:iCs/>
          <w:color w:val="auto"/>
          <w:sz w:val="26"/>
          <w:szCs w:val="26"/>
        </w:rPr>
        <w:t>, 22</w:t>
      </w:r>
      <w:r w:rsidRPr="00732210">
        <w:rPr>
          <w:i/>
          <w:iCs/>
          <w:color w:val="auto"/>
          <w:sz w:val="26"/>
          <w:szCs w:val="26"/>
        </w:rPr>
        <w:t>(</w:t>
      </w:r>
      <w:r w:rsidRPr="00732210">
        <w:rPr>
          <w:color w:val="auto"/>
          <w:sz w:val="26"/>
          <w:szCs w:val="26"/>
        </w:rPr>
        <w:t xml:space="preserve">87), pp.229-237.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lastRenderedPageBreak/>
        <w:t xml:space="preserve">Cooke, T. E. (1993). Disclosure in Japanese corporate annual reports. </w:t>
      </w:r>
      <w:r w:rsidRPr="00732210">
        <w:rPr>
          <w:i/>
          <w:iCs/>
          <w:color w:val="auto"/>
          <w:sz w:val="26"/>
          <w:szCs w:val="26"/>
        </w:rPr>
        <w:t xml:space="preserve">Journal of Business Finance and Accounting, </w:t>
      </w:r>
      <w:r w:rsidRPr="00732210">
        <w:rPr>
          <w:iCs/>
          <w:color w:val="auto"/>
          <w:sz w:val="26"/>
          <w:szCs w:val="26"/>
        </w:rPr>
        <w:t>20</w:t>
      </w:r>
      <w:r w:rsidRPr="00732210">
        <w:rPr>
          <w:color w:val="auto"/>
          <w:sz w:val="26"/>
          <w:szCs w:val="26"/>
        </w:rPr>
        <w:t xml:space="preserve">(4), pp.521-535.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4C0F3D">
        <w:rPr>
          <w:sz w:val="26"/>
          <w:szCs w:val="26"/>
        </w:rPr>
        <w:t>Doan Nguyen Phuong Trang (2010), Factors influencing the level of information disclosure of companies listed on the Vietnam stock market, Master thesis.</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Gibbins, M., Richardson, A., and Waterhouse, J. (1990). The management of corporate financial disclosure: opportunism, ritualism, policies, and processes. </w:t>
      </w:r>
      <w:r w:rsidRPr="00732210">
        <w:rPr>
          <w:i/>
          <w:iCs/>
          <w:color w:val="auto"/>
          <w:sz w:val="26"/>
          <w:szCs w:val="26"/>
        </w:rPr>
        <w:t>Journal of Accounting Research</w:t>
      </w:r>
      <w:r w:rsidRPr="00732210">
        <w:rPr>
          <w:color w:val="auto"/>
          <w:sz w:val="26"/>
          <w:szCs w:val="26"/>
        </w:rPr>
        <w:t xml:space="preserve">, </w:t>
      </w:r>
      <w:r w:rsidRPr="00732210">
        <w:rPr>
          <w:iCs/>
          <w:color w:val="auto"/>
          <w:sz w:val="26"/>
          <w:szCs w:val="26"/>
        </w:rPr>
        <w:t>28</w:t>
      </w:r>
      <w:r w:rsidRPr="00732210">
        <w:rPr>
          <w:color w:val="auto"/>
          <w:sz w:val="26"/>
          <w:szCs w:val="26"/>
        </w:rPr>
        <w:t xml:space="preserve">(1), pp.121-143. </w:t>
      </w:r>
    </w:p>
    <w:p w:rsidR="004C0F3D" w:rsidRPr="00732210" w:rsidRDefault="004C0F3D" w:rsidP="004C0F3D">
      <w:pPr>
        <w:pStyle w:val="Default"/>
        <w:widowControl w:val="0"/>
        <w:numPr>
          <w:ilvl w:val="0"/>
          <w:numId w:val="9"/>
        </w:numPr>
        <w:spacing w:before="120" w:after="120"/>
        <w:ind w:left="547" w:hanging="547"/>
        <w:jc w:val="both"/>
        <w:rPr>
          <w:color w:val="auto"/>
          <w:sz w:val="26"/>
          <w:szCs w:val="26"/>
        </w:rPr>
      </w:pPr>
      <w:r w:rsidRPr="00732210">
        <w:rPr>
          <w:color w:val="auto"/>
          <w:sz w:val="26"/>
          <w:szCs w:val="26"/>
        </w:rPr>
        <w:t xml:space="preserve">Ho, S. S., and Wong, K. S. (2001). A study of corporate disclosure practice and effectiveness in Hong Kong. </w:t>
      </w:r>
      <w:r w:rsidRPr="00732210">
        <w:rPr>
          <w:i/>
          <w:iCs/>
          <w:color w:val="auto"/>
          <w:sz w:val="26"/>
          <w:szCs w:val="26"/>
        </w:rPr>
        <w:t xml:space="preserve">Journal of International Financial Management and Accounting, </w:t>
      </w:r>
      <w:r w:rsidRPr="00732210">
        <w:rPr>
          <w:iCs/>
          <w:color w:val="auto"/>
          <w:sz w:val="26"/>
          <w:szCs w:val="26"/>
        </w:rPr>
        <w:t>12</w:t>
      </w:r>
      <w:r w:rsidRPr="00732210">
        <w:rPr>
          <w:color w:val="auto"/>
          <w:sz w:val="26"/>
          <w:szCs w:val="26"/>
        </w:rPr>
        <w:t xml:space="preserve">(1), pp.75-102.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Hooi, G. (2007). The effects of culture on international banking disclosure. Asia-Pacific </w:t>
      </w:r>
      <w:r w:rsidRPr="00732210">
        <w:rPr>
          <w:i/>
          <w:iCs/>
          <w:color w:val="auto"/>
          <w:sz w:val="26"/>
          <w:szCs w:val="26"/>
        </w:rPr>
        <w:t>Journal of Accounting and Economics</w:t>
      </w:r>
      <w:r w:rsidRPr="00732210">
        <w:rPr>
          <w:color w:val="auto"/>
          <w:sz w:val="26"/>
          <w:szCs w:val="26"/>
        </w:rPr>
        <w:t xml:space="preserve">, </w:t>
      </w:r>
      <w:r w:rsidRPr="00732210">
        <w:rPr>
          <w:iCs/>
          <w:color w:val="auto"/>
          <w:sz w:val="26"/>
          <w:szCs w:val="26"/>
        </w:rPr>
        <w:t>14</w:t>
      </w:r>
      <w:r w:rsidRPr="00732210">
        <w:rPr>
          <w:color w:val="auto"/>
          <w:sz w:val="26"/>
          <w:szCs w:val="26"/>
        </w:rPr>
        <w:t xml:space="preserve">, pp.7-25.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Hossain, (2001). </w:t>
      </w:r>
      <w:r w:rsidRPr="00732210">
        <w:rPr>
          <w:i/>
          <w:color w:val="auto"/>
          <w:sz w:val="26"/>
          <w:szCs w:val="26"/>
        </w:rPr>
        <w:t xml:space="preserve">The Disclosure of Information in the Annual Reports of Financial Companies in Developing Countries: </w:t>
      </w:r>
      <w:proofErr w:type="gramStart"/>
      <w:r w:rsidRPr="00732210">
        <w:rPr>
          <w:i/>
          <w:color w:val="auto"/>
          <w:sz w:val="26"/>
          <w:szCs w:val="26"/>
        </w:rPr>
        <w:t>the</w:t>
      </w:r>
      <w:proofErr w:type="gramEnd"/>
      <w:r w:rsidRPr="00732210">
        <w:rPr>
          <w:i/>
          <w:color w:val="auto"/>
          <w:sz w:val="26"/>
          <w:szCs w:val="26"/>
        </w:rPr>
        <w:t xml:space="preserve"> Case of Bangladesh</w:t>
      </w:r>
      <w:r w:rsidRPr="00732210">
        <w:rPr>
          <w:color w:val="auto"/>
          <w:sz w:val="26"/>
          <w:szCs w:val="26"/>
        </w:rPr>
        <w:t xml:space="preserve">, Unpublished Mphil thesis, The University of Manchester, UK.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Hossain, M. (2008). The extent of disclosure in annual reports of banking companies: the case of India. </w:t>
      </w:r>
      <w:r w:rsidRPr="00732210">
        <w:rPr>
          <w:i/>
          <w:iCs/>
          <w:color w:val="auto"/>
          <w:sz w:val="26"/>
          <w:szCs w:val="26"/>
        </w:rPr>
        <w:t xml:space="preserve">European Journal of Scientific Research, </w:t>
      </w:r>
      <w:r w:rsidRPr="00732210">
        <w:rPr>
          <w:iCs/>
          <w:color w:val="auto"/>
          <w:sz w:val="26"/>
          <w:szCs w:val="26"/>
        </w:rPr>
        <w:t>23</w:t>
      </w:r>
      <w:r w:rsidRPr="00732210">
        <w:rPr>
          <w:color w:val="auto"/>
          <w:sz w:val="26"/>
          <w:szCs w:val="26"/>
        </w:rPr>
        <w:t xml:space="preserve">(4), pp.660-681.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Hossain, M., Tan, L. M., and Adams, M. (1994). Voluntary disclosure in an emerging capital market: some empirical evidence from companies listed on Kuala Lumpur stock exchange. </w:t>
      </w:r>
      <w:r w:rsidRPr="00732210">
        <w:rPr>
          <w:i/>
          <w:iCs/>
          <w:color w:val="auto"/>
          <w:sz w:val="26"/>
          <w:szCs w:val="26"/>
        </w:rPr>
        <w:t>The International Journal of Accounting</w:t>
      </w:r>
      <w:r w:rsidRPr="00732210">
        <w:rPr>
          <w:iCs/>
          <w:color w:val="auto"/>
          <w:sz w:val="26"/>
          <w:szCs w:val="26"/>
        </w:rPr>
        <w:t>, 29</w:t>
      </w:r>
      <w:r w:rsidRPr="00732210">
        <w:rPr>
          <w:color w:val="auto"/>
          <w:sz w:val="26"/>
          <w:szCs w:val="26"/>
        </w:rPr>
        <w:t xml:space="preserve">, pp.334-351.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Hossain, M., Perera, M. H. B., and Rahman, A. R. (1995). Voluntary disclosure in the annual reports of New Zealand companies. </w:t>
      </w:r>
      <w:r w:rsidRPr="00732210">
        <w:rPr>
          <w:i/>
          <w:iCs/>
          <w:color w:val="auto"/>
          <w:sz w:val="26"/>
          <w:szCs w:val="26"/>
        </w:rPr>
        <w:t xml:space="preserve">Journal of International Financial Management and Accounting, </w:t>
      </w:r>
      <w:r w:rsidRPr="00732210">
        <w:rPr>
          <w:iCs/>
          <w:color w:val="auto"/>
          <w:sz w:val="26"/>
          <w:szCs w:val="26"/>
        </w:rPr>
        <w:t>6</w:t>
      </w:r>
      <w:r w:rsidRPr="00732210">
        <w:rPr>
          <w:color w:val="auto"/>
          <w:sz w:val="26"/>
          <w:szCs w:val="26"/>
        </w:rPr>
        <w:t xml:space="preserve">(1), pp.69-87.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Hossain, M., and Adams, M. (1995). Voluntary financial disclosure by Australian listed companies. </w:t>
      </w:r>
      <w:r w:rsidRPr="00732210">
        <w:rPr>
          <w:i/>
          <w:iCs/>
          <w:color w:val="auto"/>
          <w:sz w:val="26"/>
          <w:szCs w:val="26"/>
        </w:rPr>
        <w:t>Australian Accounting Review</w:t>
      </w:r>
      <w:r w:rsidRPr="00732210">
        <w:rPr>
          <w:i/>
          <w:color w:val="auto"/>
          <w:sz w:val="26"/>
          <w:szCs w:val="26"/>
        </w:rPr>
        <w:t xml:space="preserve">, </w:t>
      </w:r>
      <w:r w:rsidRPr="00732210">
        <w:rPr>
          <w:iCs/>
          <w:color w:val="auto"/>
          <w:sz w:val="26"/>
          <w:szCs w:val="26"/>
        </w:rPr>
        <w:t>5</w:t>
      </w:r>
      <w:r w:rsidRPr="00732210">
        <w:rPr>
          <w:i/>
          <w:color w:val="auto"/>
          <w:sz w:val="26"/>
          <w:szCs w:val="26"/>
        </w:rPr>
        <w:t>,</w:t>
      </w:r>
      <w:r w:rsidRPr="00732210">
        <w:rPr>
          <w:color w:val="auto"/>
          <w:sz w:val="26"/>
          <w:szCs w:val="26"/>
        </w:rPr>
        <w:t xml:space="preserve"> pp.45-55.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Hossain, M. Ahmed, K., and Godfrey, J. M. (2005). Investment opportunity set and voluntary disclosure of prospective information: a simultaneous equations approach. </w:t>
      </w:r>
      <w:r w:rsidRPr="00732210">
        <w:rPr>
          <w:i/>
          <w:iCs/>
          <w:color w:val="auto"/>
          <w:sz w:val="26"/>
          <w:szCs w:val="26"/>
        </w:rPr>
        <w:t>Journal of Business Finance and Accounting</w:t>
      </w:r>
      <w:r w:rsidRPr="00732210">
        <w:rPr>
          <w:color w:val="auto"/>
          <w:sz w:val="26"/>
          <w:szCs w:val="26"/>
        </w:rPr>
        <w:t xml:space="preserve">, </w:t>
      </w:r>
      <w:r w:rsidRPr="00732210">
        <w:rPr>
          <w:iCs/>
          <w:color w:val="auto"/>
          <w:sz w:val="26"/>
          <w:szCs w:val="26"/>
        </w:rPr>
        <w:t>32</w:t>
      </w:r>
      <w:r w:rsidRPr="00732210">
        <w:rPr>
          <w:color w:val="auto"/>
          <w:sz w:val="26"/>
          <w:szCs w:val="26"/>
        </w:rPr>
        <w:t xml:space="preserve">(6), pp.871-907.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Hossain, M., and Taylor, P. J. (2007). The empirical evidence of the voluntary information disclosure in the annual reports of banking companies: the case of Bangladesh. </w:t>
      </w:r>
      <w:r w:rsidRPr="00732210">
        <w:rPr>
          <w:i/>
          <w:iCs/>
          <w:color w:val="auto"/>
          <w:sz w:val="26"/>
          <w:szCs w:val="26"/>
        </w:rPr>
        <w:t xml:space="preserve">Corporate Ownership and Control, </w:t>
      </w:r>
      <w:r w:rsidRPr="00732210">
        <w:rPr>
          <w:iCs/>
          <w:color w:val="auto"/>
          <w:sz w:val="26"/>
          <w:szCs w:val="26"/>
        </w:rPr>
        <w:t>4</w:t>
      </w:r>
      <w:r w:rsidRPr="00732210">
        <w:rPr>
          <w:color w:val="auto"/>
          <w:sz w:val="26"/>
          <w:szCs w:val="26"/>
        </w:rPr>
        <w:t xml:space="preserve">(3), pp.111-125.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Hossain, M., and Reaz, M. (2007). The determinants and characteristics of voluntary disclosure by Indian banking companies. </w:t>
      </w:r>
      <w:r w:rsidRPr="00732210">
        <w:rPr>
          <w:i/>
          <w:iCs/>
          <w:color w:val="auto"/>
          <w:sz w:val="26"/>
          <w:szCs w:val="26"/>
        </w:rPr>
        <w:t>Corporate Social Responsibility and Environmental Management</w:t>
      </w:r>
      <w:r w:rsidRPr="00732210">
        <w:rPr>
          <w:color w:val="auto"/>
          <w:sz w:val="26"/>
          <w:szCs w:val="26"/>
        </w:rPr>
        <w:t xml:space="preserve">, </w:t>
      </w:r>
      <w:r w:rsidRPr="00732210">
        <w:rPr>
          <w:iCs/>
          <w:color w:val="auto"/>
          <w:sz w:val="26"/>
          <w:szCs w:val="26"/>
        </w:rPr>
        <w:t>14</w:t>
      </w:r>
      <w:r w:rsidRPr="00732210">
        <w:rPr>
          <w:color w:val="auto"/>
          <w:sz w:val="26"/>
          <w:szCs w:val="26"/>
        </w:rPr>
        <w:t xml:space="preserve">, pp.274-288.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4C0F3D">
        <w:rPr>
          <w:sz w:val="26"/>
          <w:szCs w:val="26"/>
        </w:rPr>
        <w:t xml:space="preserve">Huynh Thi Van (2013), Study on the level of disclosure of accounting information of construction companies quoted at the Hanoi Stock Exchange, </w:t>
      </w:r>
      <w:r w:rsidRPr="006810E9">
        <w:rPr>
          <w:i/>
          <w:sz w:val="26"/>
          <w:szCs w:val="26"/>
        </w:rPr>
        <w:t>Master thesis.</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Kahl, A. and Belkaoui A. (1981). Bank Annual Report Disclosure Adequacy Internationally. </w:t>
      </w:r>
      <w:r w:rsidRPr="00732210">
        <w:rPr>
          <w:i/>
          <w:color w:val="auto"/>
          <w:sz w:val="26"/>
          <w:szCs w:val="26"/>
        </w:rPr>
        <w:t>Accounting and Bussiness Research</w:t>
      </w:r>
      <w:r w:rsidRPr="00732210">
        <w:rPr>
          <w:color w:val="auto"/>
          <w:sz w:val="26"/>
          <w:szCs w:val="26"/>
        </w:rPr>
        <w:t>, Summer 1981.</w:t>
      </w:r>
    </w:p>
    <w:p w:rsidR="004C0F3D"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lastRenderedPageBreak/>
        <w:t xml:space="preserve">Kribat, M. M. J. (2009). </w:t>
      </w:r>
      <w:r w:rsidRPr="00732210">
        <w:rPr>
          <w:i/>
          <w:iCs/>
          <w:color w:val="auto"/>
          <w:sz w:val="26"/>
          <w:szCs w:val="26"/>
        </w:rPr>
        <w:t>Financial disclosure practices in developing countries: evidence from the Libyan banking sector</w:t>
      </w:r>
      <w:r w:rsidRPr="00732210">
        <w:rPr>
          <w:color w:val="auto"/>
          <w:sz w:val="26"/>
          <w:szCs w:val="26"/>
        </w:rPr>
        <w:t xml:space="preserve">. Unpublished PhD, University of Dundee. </w:t>
      </w:r>
    </w:p>
    <w:p w:rsidR="004C0F3D" w:rsidRPr="004C0F3D" w:rsidRDefault="004C0F3D" w:rsidP="004C0F3D">
      <w:pPr>
        <w:pStyle w:val="Default"/>
        <w:numPr>
          <w:ilvl w:val="0"/>
          <w:numId w:val="9"/>
        </w:numPr>
        <w:spacing w:before="120" w:after="120"/>
        <w:ind w:left="540" w:hanging="540"/>
        <w:jc w:val="both"/>
        <w:rPr>
          <w:color w:val="auto"/>
          <w:sz w:val="26"/>
          <w:szCs w:val="26"/>
        </w:rPr>
      </w:pPr>
      <w:r w:rsidRPr="004C0F3D">
        <w:rPr>
          <w:sz w:val="26"/>
          <w:szCs w:val="26"/>
        </w:rPr>
        <w:t>Le Van Huy and Truong Tran Tram Anh (2012), Research methodology in business, Da Nang University of Economics.</w:t>
      </w:r>
    </w:p>
    <w:p w:rsidR="004C0F3D" w:rsidRPr="006810E9" w:rsidRDefault="004C0F3D" w:rsidP="004C0F3D">
      <w:pPr>
        <w:pStyle w:val="Default"/>
        <w:numPr>
          <w:ilvl w:val="0"/>
          <w:numId w:val="9"/>
        </w:numPr>
        <w:spacing w:before="120" w:after="120"/>
        <w:ind w:left="540" w:hanging="540"/>
        <w:jc w:val="both"/>
        <w:rPr>
          <w:i/>
          <w:color w:val="auto"/>
          <w:sz w:val="26"/>
          <w:szCs w:val="26"/>
        </w:rPr>
      </w:pPr>
      <w:r w:rsidRPr="004C0F3D">
        <w:rPr>
          <w:sz w:val="26"/>
          <w:szCs w:val="26"/>
        </w:rPr>
        <w:t>Le Thi Truc Loan (2012), discussing the relationship between a number of factors of enterprise characteristics and the level of information disclosure of enterprises lis</w:t>
      </w:r>
      <w:r w:rsidR="006810E9">
        <w:rPr>
          <w:sz w:val="26"/>
          <w:szCs w:val="26"/>
        </w:rPr>
        <w:t>ted on the Vietnam stock market.</w:t>
      </w:r>
      <w:r w:rsidRPr="004C0F3D">
        <w:rPr>
          <w:sz w:val="26"/>
          <w:szCs w:val="26"/>
        </w:rPr>
        <w:t xml:space="preserve"> </w:t>
      </w:r>
      <w:r w:rsidR="006810E9" w:rsidRPr="006810E9">
        <w:rPr>
          <w:i/>
          <w:sz w:val="26"/>
          <w:szCs w:val="26"/>
        </w:rPr>
        <w:t>M</w:t>
      </w:r>
      <w:r w:rsidRPr="006810E9">
        <w:rPr>
          <w:i/>
          <w:sz w:val="26"/>
          <w:szCs w:val="26"/>
        </w:rPr>
        <w:t>aster thesis.</w:t>
      </w:r>
    </w:p>
    <w:p w:rsidR="004C0F3D" w:rsidRPr="006810E9" w:rsidRDefault="004C0F3D" w:rsidP="004C0F3D">
      <w:pPr>
        <w:pStyle w:val="Default"/>
        <w:numPr>
          <w:ilvl w:val="0"/>
          <w:numId w:val="9"/>
        </w:numPr>
        <w:spacing w:before="120" w:after="120"/>
        <w:ind w:left="540" w:hanging="540"/>
        <w:jc w:val="both"/>
        <w:rPr>
          <w:i/>
          <w:color w:val="auto"/>
          <w:sz w:val="26"/>
          <w:szCs w:val="26"/>
        </w:rPr>
      </w:pPr>
      <w:r w:rsidRPr="004C0F3D">
        <w:rPr>
          <w:sz w:val="26"/>
          <w:szCs w:val="26"/>
        </w:rPr>
        <w:t xml:space="preserve">Le Truong Vinh and Hoang Trong (2008) Factors influencing the level of information transparency of listed enterprises as perceived by investors, </w:t>
      </w:r>
      <w:r w:rsidRPr="006810E9">
        <w:rPr>
          <w:i/>
          <w:sz w:val="26"/>
          <w:szCs w:val="26"/>
        </w:rPr>
        <w:t>Journal of Economics No. 218.</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Matingot, M., and Zeghal, D. (2008). An analysis of corporate governance information disclosure by Canadian banks. </w:t>
      </w:r>
      <w:r w:rsidRPr="00732210">
        <w:rPr>
          <w:i/>
          <w:iCs/>
          <w:color w:val="auto"/>
          <w:sz w:val="26"/>
          <w:szCs w:val="26"/>
        </w:rPr>
        <w:t>Corporate Ownership and Control</w:t>
      </w:r>
      <w:r w:rsidRPr="00732210">
        <w:rPr>
          <w:b/>
          <w:bCs/>
          <w:color w:val="auto"/>
          <w:sz w:val="26"/>
          <w:szCs w:val="26"/>
        </w:rPr>
        <w:t xml:space="preserve">, </w:t>
      </w:r>
      <w:r w:rsidRPr="00732210">
        <w:rPr>
          <w:iCs/>
          <w:color w:val="auto"/>
          <w:sz w:val="26"/>
          <w:szCs w:val="26"/>
        </w:rPr>
        <w:t>5</w:t>
      </w:r>
      <w:r w:rsidRPr="00732210">
        <w:rPr>
          <w:color w:val="auto"/>
          <w:sz w:val="26"/>
          <w:szCs w:val="26"/>
        </w:rPr>
        <w:t xml:space="preserve">(2), pp.225-236.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Meek, G. K., Roberts, C. B., and Gray, S. J. (1995). Factors influencing voluntary annual report disclosures by US, UK and Continental European multinational corporations, </w:t>
      </w:r>
      <w:r w:rsidRPr="00732210">
        <w:rPr>
          <w:i/>
          <w:iCs/>
          <w:color w:val="auto"/>
          <w:sz w:val="26"/>
          <w:szCs w:val="26"/>
        </w:rPr>
        <w:t xml:space="preserve">Journal of International Business Studies, </w:t>
      </w:r>
      <w:r w:rsidRPr="00732210">
        <w:rPr>
          <w:iCs/>
          <w:color w:val="auto"/>
          <w:sz w:val="26"/>
          <w:szCs w:val="26"/>
        </w:rPr>
        <w:t xml:space="preserve">26 </w:t>
      </w:r>
      <w:r w:rsidRPr="00732210">
        <w:rPr>
          <w:color w:val="auto"/>
          <w:sz w:val="26"/>
          <w:szCs w:val="26"/>
        </w:rPr>
        <w:t xml:space="preserve">(3), pp.555-572. </w:t>
      </w:r>
    </w:p>
    <w:p w:rsidR="004C0F3D" w:rsidRPr="004C0F3D"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Menassa, E. (2010). Corporate social responsibility: An exploratory study of the quality and extent of social disclosures by Lebanese commercial banks. </w:t>
      </w:r>
      <w:r w:rsidRPr="00732210">
        <w:rPr>
          <w:i/>
          <w:iCs/>
          <w:color w:val="auto"/>
          <w:sz w:val="26"/>
          <w:szCs w:val="26"/>
        </w:rPr>
        <w:t xml:space="preserve">Journal of Applied Accounting Research,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4C0F3D">
        <w:rPr>
          <w:sz w:val="26"/>
          <w:szCs w:val="26"/>
        </w:rPr>
        <w:t>Ministry of Finance (2012), Circular 52/2012 / TT-BTC Guiding the disclosure of information on the securities market.</w:t>
      </w:r>
    </w:p>
    <w:p w:rsidR="004C0F3D" w:rsidRPr="004C0F3D" w:rsidRDefault="004C0F3D" w:rsidP="004C0F3D">
      <w:pPr>
        <w:pStyle w:val="Default"/>
        <w:widowControl w:val="0"/>
        <w:numPr>
          <w:ilvl w:val="0"/>
          <w:numId w:val="9"/>
        </w:numPr>
        <w:spacing w:before="120" w:after="120"/>
        <w:ind w:left="547" w:hanging="547"/>
        <w:jc w:val="both"/>
        <w:rPr>
          <w:color w:val="auto"/>
          <w:sz w:val="26"/>
          <w:szCs w:val="26"/>
        </w:rPr>
      </w:pPr>
      <w:r w:rsidRPr="004C0F3D">
        <w:rPr>
          <w:sz w:val="26"/>
          <w:szCs w:val="26"/>
        </w:rPr>
        <w:t>National Assembly of the Socialist Republic of Vietnam (2006), Securities Law No. 70/2006 / QH11</w:t>
      </w:r>
    </w:p>
    <w:p w:rsidR="004C0F3D" w:rsidRPr="004C0F3D" w:rsidRDefault="004C0F3D" w:rsidP="004C0F3D">
      <w:pPr>
        <w:pStyle w:val="Default"/>
        <w:widowControl w:val="0"/>
        <w:numPr>
          <w:ilvl w:val="0"/>
          <w:numId w:val="9"/>
        </w:numPr>
        <w:spacing w:before="120" w:after="120"/>
        <w:ind w:left="547" w:hanging="547"/>
        <w:jc w:val="both"/>
        <w:rPr>
          <w:color w:val="auto"/>
          <w:sz w:val="26"/>
          <w:szCs w:val="26"/>
        </w:rPr>
      </w:pPr>
      <w:r w:rsidRPr="004C0F3D">
        <w:rPr>
          <w:sz w:val="26"/>
          <w:szCs w:val="26"/>
        </w:rPr>
        <w:t>National Assembly of the Socialist Republic of Vietnam (2012), Law on Securities No. 62/2010 / QH11.</w:t>
      </w:r>
    </w:p>
    <w:p w:rsidR="004C0F3D" w:rsidRPr="004C0F3D" w:rsidRDefault="004C0F3D" w:rsidP="004C0F3D">
      <w:pPr>
        <w:pStyle w:val="Default"/>
        <w:widowControl w:val="0"/>
        <w:numPr>
          <w:ilvl w:val="0"/>
          <w:numId w:val="9"/>
        </w:numPr>
        <w:spacing w:before="120" w:after="120"/>
        <w:ind w:left="547" w:hanging="547"/>
        <w:jc w:val="both"/>
        <w:rPr>
          <w:color w:val="auto"/>
          <w:sz w:val="26"/>
          <w:szCs w:val="26"/>
        </w:rPr>
      </w:pPr>
      <w:r w:rsidRPr="004C0F3D">
        <w:rPr>
          <w:sz w:val="26"/>
          <w:szCs w:val="26"/>
        </w:rPr>
        <w:t xml:space="preserve">Nguyen Thi Thuy Huong (2014), Study on Factors Affecting the Level of Information Disclosure in Financial Statements of Food Processing Enterprises Listed on the Ho Chi Minh City Stock Exchange Minh. </w:t>
      </w:r>
      <w:r w:rsidRPr="006810E9">
        <w:rPr>
          <w:i/>
          <w:sz w:val="26"/>
          <w:szCs w:val="26"/>
        </w:rPr>
        <w:t>Master thesis</w:t>
      </w:r>
    </w:p>
    <w:p w:rsidR="004C0F3D" w:rsidRPr="004C0F3D" w:rsidRDefault="004C0F3D" w:rsidP="004C0F3D">
      <w:pPr>
        <w:pStyle w:val="Default"/>
        <w:widowControl w:val="0"/>
        <w:numPr>
          <w:ilvl w:val="0"/>
          <w:numId w:val="9"/>
        </w:numPr>
        <w:spacing w:before="120" w:after="120"/>
        <w:ind w:left="547" w:hanging="547"/>
        <w:jc w:val="both"/>
        <w:rPr>
          <w:color w:val="auto"/>
          <w:sz w:val="26"/>
          <w:szCs w:val="26"/>
        </w:rPr>
      </w:pPr>
      <w:r w:rsidRPr="004C0F3D">
        <w:rPr>
          <w:sz w:val="26"/>
          <w:szCs w:val="26"/>
        </w:rPr>
        <w:t xml:space="preserve">Nguyen Minh Huy (2015), Research on the factors affecting the level of information disclosure in financial statements of commercial banks in Vietnam. </w:t>
      </w:r>
      <w:r w:rsidRPr="006810E9">
        <w:rPr>
          <w:i/>
          <w:sz w:val="26"/>
          <w:szCs w:val="26"/>
        </w:rPr>
        <w:t>Master thesis.</w:t>
      </w:r>
    </w:p>
    <w:p w:rsidR="004C0F3D" w:rsidRPr="004C0F3D" w:rsidRDefault="004C0F3D" w:rsidP="004C0F3D">
      <w:pPr>
        <w:pStyle w:val="Default"/>
        <w:widowControl w:val="0"/>
        <w:numPr>
          <w:ilvl w:val="0"/>
          <w:numId w:val="9"/>
        </w:numPr>
        <w:spacing w:before="120" w:after="120"/>
        <w:ind w:left="547" w:hanging="547"/>
        <w:jc w:val="both"/>
        <w:rPr>
          <w:color w:val="auto"/>
          <w:sz w:val="26"/>
          <w:szCs w:val="26"/>
        </w:rPr>
      </w:pPr>
      <w:r w:rsidRPr="004C0F3D">
        <w:rPr>
          <w:sz w:val="26"/>
          <w:szCs w:val="26"/>
        </w:rPr>
        <w:t xml:space="preserve">Nguyen Thi Thanh Phuong (2013), Analyzing Factors Affecting the Level of Information Disclosure in Financial Statements of Listed Enterprises on the Ho Chi Minh City Stock Exchange. </w:t>
      </w:r>
      <w:r w:rsidRPr="006810E9">
        <w:rPr>
          <w:i/>
          <w:sz w:val="26"/>
          <w:szCs w:val="26"/>
        </w:rPr>
        <w:t>Master thesis.</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Owusu-Ansah, S. (1998). The impact of corporate attributes on the extent of mandatory disclosure and reporting by listed companies in Zimbabwe. </w:t>
      </w:r>
      <w:r w:rsidRPr="00732210">
        <w:rPr>
          <w:i/>
          <w:iCs/>
          <w:color w:val="auto"/>
          <w:sz w:val="26"/>
          <w:szCs w:val="26"/>
        </w:rPr>
        <w:t>The International Journal of Accounting</w:t>
      </w:r>
      <w:r w:rsidRPr="00732210">
        <w:rPr>
          <w:iCs/>
          <w:color w:val="auto"/>
          <w:sz w:val="26"/>
          <w:szCs w:val="26"/>
        </w:rPr>
        <w:t>, 33</w:t>
      </w:r>
      <w:r w:rsidRPr="00732210">
        <w:rPr>
          <w:color w:val="auto"/>
          <w:sz w:val="26"/>
          <w:szCs w:val="26"/>
        </w:rPr>
        <w:t xml:space="preserve">(5), pp.606-631. </w:t>
      </w:r>
    </w:p>
    <w:p w:rsidR="004C0F3D" w:rsidRDefault="004C0F3D" w:rsidP="004C0F3D">
      <w:pPr>
        <w:pStyle w:val="Default"/>
        <w:widowControl w:val="0"/>
        <w:numPr>
          <w:ilvl w:val="0"/>
          <w:numId w:val="9"/>
        </w:numPr>
        <w:spacing w:before="120" w:after="120"/>
        <w:ind w:left="547" w:hanging="547"/>
        <w:jc w:val="both"/>
        <w:rPr>
          <w:color w:val="auto"/>
          <w:sz w:val="26"/>
          <w:szCs w:val="26"/>
        </w:rPr>
      </w:pPr>
      <w:r w:rsidRPr="00732210">
        <w:rPr>
          <w:color w:val="auto"/>
          <w:sz w:val="26"/>
          <w:szCs w:val="26"/>
        </w:rPr>
        <w:t xml:space="preserve">Owusu-Ansah, S. (2005). Factors influencing corporate compliance with financial reporting requirements in New Zealand. </w:t>
      </w:r>
      <w:r w:rsidRPr="00732210">
        <w:rPr>
          <w:i/>
          <w:iCs/>
          <w:color w:val="auto"/>
          <w:sz w:val="26"/>
          <w:szCs w:val="26"/>
        </w:rPr>
        <w:t>International Journal of Commerce and Managemen</w:t>
      </w:r>
      <w:r w:rsidRPr="00732210">
        <w:rPr>
          <w:color w:val="auto"/>
          <w:sz w:val="26"/>
          <w:szCs w:val="26"/>
        </w:rPr>
        <w:t xml:space="preserve">, </w:t>
      </w:r>
      <w:r w:rsidRPr="00732210">
        <w:rPr>
          <w:iCs/>
          <w:color w:val="auto"/>
          <w:sz w:val="26"/>
          <w:szCs w:val="26"/>
        </w:rPr>
        <w:t>15</w:t>
      </w:r>
      <w:r w:rsidRPr="00732210">
        <w:rPr>
          <w:color w:val="auto"/>
          <w:sz w:val="26"/>
          <w:szCs w:val="26"/>
        </w:rPr>
        <w:t xml:space="preserve">(2), pp.142-157.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lastRenderedPageBreak/>
        <w:t xml:space="preserve">Singhvi, S. S., and Desai, H. B. (1971). An empirical analysis of the quality of corporate financial disclosure. </w:t>
      </w:r>
      <w:r w:rsidRPr="00732210">
        <w:rPr>
          <w:i/>
          <w:iCs/>
          <w:color w:val="auto"/>
          <w:sz w:val="26"/>
          <w:szCs w:val="26"/>
        </w:rPr>
        <w:t xml:space="preserve">Accounting Review, </w:t>
      </w:r>
      <w:r w:rsidRPr="00732210">
        <w:rPr>
          <w:iCs/>
          <w:color w:val="auto"/>
          <w:sz w:val="26"/>
          <w:szCs w:val="26"/>
        </w:rPr>
        <w:t xml:space="preserve">46 </w:t>
      </w:r>
      <w:r w:rsidRPr="00732210">
        <w:rPr>
          <w:color w:val="auto"/>
          <w:sz w:val="26"/>
          <w:szCs w:val="26"/>
        </w:rPr>
        <w:t xml:space="preserve">(1), pp.129-138. </w:t>
      </w:r>
    </w:p>
    <w:p w:rsidR="004C0F3D"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Ta Quang Binh. (2014). A Case Study of Voluntary Disclosure </w:t>
      </w:r>
      <w:proofErr w:type="gramStart"/>
      <w:r w:rsidRPr="00732210">
        <w:rPr>
          <w:color w:val="auto"/>
          <w:sz w:val="26"/>
          <w:szCs w:val="26"/>
        </w:rPr>
        <w:t>By</w:t>
      </w:r>
      <w:proofErr w:type="gramEnd"/>
      <w:r w:rsidRPr="00732210">
        <w:rPr>
          <w:color w:val="auto"/>
          <w:sz w:val="26"/>
          <w:szCs w:val="26"/>
        </w:rPr>
        <w:t xml:space="preserve"> Vietnamese Listed Companies. </w:t>
      </w:r>
      <w:r w:rsidRPr="00732210">
        <w:rPr>
          <w:i/>
          <w:color w:val="auto"/>
          <w:sz w:val="26"/>
          <w:szCs w:val="26"/>
        </w:rPr>
        <w:t>International Journal of Management Sciences and Business Research</w:t>
      </w:r>
      <w:r w:rsidRPr="00732210">
        <w:rPr>
          <w:color w:val="auto"/>
          <w:sz w:val="26"/>
          <w:szCs w:val="26"/>
        </w:rPr>
        <w:t>, ISSN (2226-8235) Vol-3, Issue 4.</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4C0F3D">
        <w:rPr>
          <w:sz w:val="26"/>
          <w:szCs w:val="26"/>
        </w:rPr>
        <w:t>The State Bank of Vietnam (2007), the Accounting Regime for Credit Institutions in Vietnam, Decision 16/2007 / QD-NHNN.</w:t>
      </w:r>
    </w:p>
    <w:p w:rsidR="004C0F3D" w:rsidRPr="00732210" w:rsidRDefault="004C0F3D" w:rsidP="004C0F3D">
      <w:pPr>
        <w:pStyle w:val="ListParagraph"/>
        <w:numPr>
          <w:ilvl w:val="0"/>
          <w:numId w:val="9"/>
        </w:numPr>
        <w:autoSpaceDE w:val="0"/>
        <w:autoSpaceDN w:val="0"/>
        <w:adjustRightInd w:val="0"/>
        <w:spacing w:before="120" w:after="120" w:line="240" w:lineRule="auto"/>
        <w:ind w:left="540" w:hanging="540"/>
        <w:jc w:val="both"/>
        <w:rPr>
          <w:sz w:val="26"/>
          <w:szCs w:val="26"/>
        </w:rPr>
      </w:pPr>
      <w:r w:rsidRPr="00732210">
        <w:rPr>
          <w:sz w:val="26"/>
          <w:szCs w:val="26"/>
        </w:rPr>
        <w:t>Vu, Kelly Bao Anh Huynh. (2012).</w:t>
      </w:r>
      <w:r w:rsidRPr="00732210">
        <w:rPr>
          <w:i/>
          <w:sz w:val="26"/>
          <w:szCs w:val="26"/>
        </w:rPr>
        <w:t xml:space="preserve"> Determinants of voluntary disclosure for Vietnamese listed firms</w:t>
      </w:r>
      <w:r w:rsidRPr="00732210">
        <w:rPr>
          <w:sz w:val="26"/>
          <w:szCs w:val="26"/>
        </w:rPr>
        <w:t xml:space="preserve">. </w:t>
      </w:r>
      <w:proofErr w:type="gramStart"/>
      <w:r w:rsidRPr="00732210">
        <w:rPr>
          <w:sz w:val="26"/>
          <w:szCs w:val="26"/>
        </w:rPr>
        <w:t>Ph.D</w:t>
      </w:r>
      <w:proofErr w:type="gramEnd"/>
      <w:r w:rsidRPr="00732210">
        <w:rPr>
          <w:sz w:val="26"/>
          <w:szCs w:val="26"/>
        </w:rPr>
        <w:t xml:space="preserve"> Thesis, School of Accounting, Curtin University</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Wallace, R.S.O., Naser, K., and Mora (1994). The relationship between the comprehensiveness of corporate annual reports and firm specific characteristics in Spain. </w:t>
      </w:r>
      <w:r w:rsidRPr="00732210">
        <w:rPr>
          <w:i/>
          <w:iCs/>
          <w:color w:val="auto"/>
          <w:sz w:val="26"/>
          <w:szCs w:val="26"/>
        </w:rPr>
        <w:t>Accounting and Business Research</w:t>
      </w:r>
      <w:r w:rsidRPr="00732210">
        <w:rPr>
          <w:color w:val="auto"/>
          <w:sz w:val="26"/>
          <w:szCs w:val="26"/>
        </w:rPr>
        <w:t xml:space="preserve">, </w:t>
      </w:r>
      <w:r w:rsidRPr="00732210">
        <w:rPr>
          <w:iCs/>
          <w:color w:val="auto"/>
          <w:sz w:val="26"/>
          <w:szCs w:val="26"/>
        </w:rPr>
        <w:t>25</w:t>
      </w:r>
      <w:r w:rsidRPr="00732210">
        <w:rPr>
          <w:color w:val="auto"/>
          <w:sz w:val="26"/>
          <w:szCs w:val="26"/>
        </w:rPr>
        <w:t xml:space="preserve">(3), pp.41-53.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World Bank (2002). </w:t>
      </w:r>
      <w:r w:rsidRPr="00732210">
        <w:rPr>
          <w:i/>
          <w:iCs/>
          <w:color w:val="auto"/>
          <w:sz w:val="26"/>
          <w:szCs w:val="26"/>
        </w:rPr>
        <w:t xml:space="preserve">The word bank policy on disclosure of information. </w:t>
      </w:r>
      <w:r w:rsidRPr="00732210">
        <w:rPr>
          <w:color w:val="auto"/>
          <w:sz w:val="26"/>
          <w:szCs w:val="26"/>
        </w:rPr>
        <w:t xml:space="preserve">June, Washington, DC: World Bank.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Yuen, D., Liu, M., Zhang, X., and Lu, C. (2009). A case study of voluntary disclosure by Chinese enterprise. </w:t>
      </w:r>
      <w:r w:rsidRPr="00732210">
        <w:rPr>
          <w:i/>
          <w:iCs/>
          <w:color w:val="auto"/>
          <w:sz w:val="26"/>
          <w:szCs w:val="26"/>
        </w:rPr>
        <w:t xml:space="preserve">Asian Journal of Finance and Accounting, </w:t>
      </w:r>
      <w:r w:rsidRPr="00732210">
        <w:rPr>
          <w:iCs/>
          <w:color w:val="auto"/>
          <w:sz w:val="26"/>
          <w:szCs w:val="26"/>
        </w:rPr>
        <w:t>1</w:t>
      </w:r>
      <w:r w:rsidRPr="00732210">
        <w:rPr>
          <w:color w:val="auto"/>
          <w:sz w:val="26"/>
          <w:szCs w:val="26"/>
        </w:rPr>
        <w:t xml:space="preserve">(2), pp.118-145. </w:t>
      </w:r>
    </w:p>
    <w:p w:rsidR="004C0F3D" w:rsidRPr="00732210" w:rsidRDefault="004C0F3D" w:rsidP="004C0F3D">
      <w:pPr>
        <w:pStyle w:val="Default"/>
        <w:numPr>
          <w:ilvl w:val="0"/>
          <w:numId w:val="9"/>
        </w:numPr>
        <w:spacing w:before="120" w:after="120"/>
        <w:ind w:left="540" w:hanging="540"/>
        <w:jc w:val="both"/>
        <w:rPr>
          <w:color w:val="auto"/>
          <w:sz w:val="26"/>
          <w:szCs w:val="26"/>
        </w:rPr>
      </w:pPr>
      <w:r w:rsidRPr="00732210">
        <w:rPr>
          <w:color w:val="auto"/>
          <w:sz w:val="26"/>
          <w:szCs w:val="26"/>
        </w:rPr>
        <w:t xml:space="preserve">Zhang, L., and Ding, S. (2006). The effect of increased disclosure on cost of equity capital: evidence from China. </w:t>
      </w:r>
      <w:r w:rsidRPr="00732210">
        <w:rPr>
          <w:i/>
          <w:iCs/>
          <w:color w:val="auto"/>
          <w:sz w:val="26"/>
          <w:szCs w:val="26"/>
        </w:rPr>
        <w:t>Review of Quantitative Finance and Accounting,</w:t>
      </w:r>
      <w:r w:rsidRPr="00732210">
        <w:rPr>
          <w:iCs/>
          <w:color w:val="auto"/>
          <w:sz w:val="26"/>
          <w:szCs w:val="26"/>
        </w:rPr>
        <w:t xml:space="preserve"> 27</w:t>
      </w:r>
      <w:r w:rsidRPr="00732210">
        <w:rPr>
          <w:color w:val="auto"/>
          <w:sz w:val="26"/>
          <w:szCs w:val="26"/>
        </w:rPr>
        <w:t xml:space="preserve">(4), pp.383- 401. </w:t>
      </w:r>
    </w:p>
    <w:p w:rsidR="004C0F3D" w:rsidRPr="00865F7C" w:rsidRDefault="004C0F3D" w:rsidP="004C0F3D">
      <w:pPr>
        <w:pStyle w:val="HTMLPreformatted"/>
        <w:shd w:val="clear" w:color="auto" w:fill="FFFFFF"/>
        <w:spacing w:before="120" w:after="120" w:line="360" w:lineRule="auto"/>
        <w:jc w:val="both"/>
        <w:rPr>
          <w:rFonts w:ascii="Times New Roman" w:hAnsi="Times New Roman" w:cs="Times New Roman"/>
          <w:sz w:val="26"/>
          <w:szCs w:val="26"/>
        </w:rPr>
      </w:pPr>
    </w:p>
    <w:p w:rsidR="00BD7C62" w:rsidRPr="00865F7C" w:rsidRDefault="00BD7C62" w:rsidP="00865F7C">
      <w:pPr>
        <w:pStyle w:val="HTMLPreformatted"/>
        <w:shd w:val="clear" w:color="auto" w:fill="FFFFFF"/>
        <w:spacing w:before="120" w:after="120" w:line="360" w:lineRule="auto"/>
        <w:jc w:val="both"/>
        <w:rPr>
          <w:rFonts w:ascii="Times New Roman" w:hAnsi="Times New Roman" w:cs="Times New Roman"/>
          <w:sz w:val="26"/>
          <w:szCs w:val="26"/>
        </w:rPr>
      </w:pPr>
      <w:r w:rsidRPr="00865F7C">
        <w:rPr>
          <w:rFonts w:ascii="Times New Roman" w:hAnsi="Times New Roman" w:cs="Times New Roman"/>
          <w:sz w:val="26"/>
          <w:szCs w:val="26"/>
        </w:rPr>
        <w:t> </w:t>
      </w:r>
    </w:p>
    <w:p w:rsidR="00BD7C62" w:rsidRPr="00865F7C" w:rsidRDefault="0019175E" w:rsidP="00865F7C">
      <w:pPr>
        <w:pStyle w:val="HTMLPreformatted"/>
        <w:shd w:val="clear" w:color="auto" w:fill="FFFFFF"/>
        <w:spacing w:before="120" w:after="120" w:line="360" w:lineRule="auto"/>
        <w:jc w:val="both"/>
        <w:rPr>
          <w:rFonts w:ascii="Times New Roman" w:hAnsi="Times New Roman" w:cs="Times New Roman"/>
          <w:sz w:val="26"/>
          <w:szCs w:val="26"/>
        </w:rPr>
      </w:pPr>
      <w:r w:rsidRPr="00865F7C">
        <w:rPr>
          <w:rFonts w:ascii="Times New Roman" w:hAnsi="Times New Roman" w:cs="Times New Roman"/>
          <w:sz w:val="26"/>
          <w:szCs w:val="26"/>
        </w:rPr>
        <w:fldChar w:fldCharType="begin"/>
      </w:r>
      <w:r w:rsidR="00BD7C62" w:rsidRPr="00865F7C">
        <w:rPr>
          <w:rFonts w:ascii="Times New Roman" w:hAnsi="Times New Roman" w:cs="Times New Roman"/>
          <w:sz w:val="26"/>
          <w:szCs w:val="26"/>
        </w:rPr>
        <w:instrText xml:space="preserve"> HYPERLINK "javascript:void(0);" </w:instrText>
      </w:r>
      <w:r w:rsidRPr="00865F7C">
        <w:rPr>
          <w:rFonts w:ascii="Times New Roman" w:hAnsi="Times New Roman" w:cs="Times New Roman"/>
          <w:sz w:val="26"/>
          <w:szCs w:val="26"/>
        </w:rPr>
        <w:fldChar w:fldCharType="separate"/>
      </w:r>
    </w:p>
    <w:p w:rsidR="00BD7C62" w:rsidRPr="00865F7C" w:rsidRDefault="00BD7C62" w:rsidP="00865F7C">
      <w:pPr>
        <w:pStyle w:val="HTMLPreformatted"/>
        <w:shd w:val="clear" w:color="auto" w:fill="FFFFFF"/>
        <w:spacing w:before="120" w:after="120" w:line="360" w:lineRule="auto"/>
        <w:jc w:val="both"/>
        <w:rPr>
          <w:rFonts w:ascii="Times New Roman" w:hAnsi="Times New Roman" w:cs="Times New Roman"/>
          <w:sz w:val="26"/>
          <w:szCs w:val="26"/>
        </w:rPr>
      </w:pPr>
      <w:r w:rsidRPr="00865F7C">
        <w:rPr>
          <w:rFonts w:ascii="Times New Roman" w:hAnsi="Times New Roman" w:cs="Times New Roman"/>
          <w:sz w:val="26"/>
          <w:szCs w:val="26"/>
        </w:rPr>
        <w:br/>
      </w:r>
    </w:p>
    <w:p w:rsidR="00337EA4" w:rsidRPr="00865F7C" w:rsidRDefault="0019175E" w:rsidP="00865F7C">
      <w:pPr>
        <w:pStyle w:val="HTMLPreformatted"/>
        <w:shd w:val="clear" w:color="auto" w:fill="FFFFFF"/>
        <w:spacing w:before="120" w:after="120" w:line="360" w:lineRule="auto"/>
        <w:jc w:val="both"/>
        <w:rPr>
          <w:rFonts w:ascii="Times New Roman" w:hAnsi="Times New Roman" w:cs="Times New Roman"/>
          <w:sz w:val="26"/>
          <w:szCs w:val="26"/>
        </w:rPr>
      </w:pPr>
      <w:r w:rsidRPr="00865F7C">
        <w:rPr>
          <w:rFonts w:ascii="Times New Roman" w:hAnsi="Times New Roman" w:cs="Times New Roman"/>
          <w:sz w:val="26"/>
          <w:szCs w:val="26"/>
        </w:rPr>
        <w:fldChar w:fldCharType="end"/>
      </w:r>
    </w:p>
    <w:p w:rsidR="00594975" w:rsidRDefault="00594975" w:rsidP="00865F7C">
      <w:pPr>
        <w:pStyle w:val="HTMLPreformatted"/>
        <w:shd w:val="clear" w:color="auto" w:fill="FFFFFF"/>
        <w:spacing w:before="120" w:after="120" w:line="360" w:lineRule="auto"/>
        <w:jc w:val="both"/>
        <w:rPr>
          <w:rFonts w:ascii="Times New Roman" w:hAnsi="Times New Roman" w:cs="Times New Roman"/>
          <w:sz w:val="26"/>
          <w:szCs w:val="26"/>
        </w:rPr>
        <w:sectPr w:rsidR="00594975" w:rsidSect="00360AF8">
          <w:pgSz w:w="11907" w:h="16839" w:code="9"/>
          <w:pgMar w:top="1440" w:right="1440" w:bottom="1440" w:left="1440" w:header="720" w:footer="720" w:gutter="0"/>
          <w:cols w:space="720"/>
          <w:docGrid w:linePitch="360"/>
        </w:sectPr>
      </w:pPr>
    </w:p>
    <w:p w:rsidR="00337EA4" w:rsidRPr="00865F7C" w:rsidRDefault="00337EA4" w:rsidP="00865F7C">
      <w:pPr>
        <w:pStyle w:val="HTMLPreformatted"/>
        <w:shd w:val="clear" w:color="auto" w:fill="FFFFFF"/>
        <w:spacing w:before="120" w:after="120" w:line="360" w:lineRule="auto"/>
        <w:jc w:val="both"/>
        <w:rPr>
          <w:rFonts w:ascii="Times New Roman" w:hAnsi="Times New Roman" w:cs="Times New Roman"/>
          <w:sz w:val="26"/>
          <w:szCs w:val="26"/>
        </w:rPr>
      </w:pPr>
    </w:p>
    <w:sectPr w:rsidR="00337EA4" w:rsidRPr="00865F7C" w:rsidSect="00360AF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B633A"/>
    <w:multiLevelType w:val="hybridMultilevel"/>
    <w:tmpl w:val="E32A6682"/>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4776E"/>
    <w:multiLevelType w:val="multilevel"/>
    <w:tmpl w:val="2FCA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B21166"/>
    <w:multiLevelType w:val="hybridMultilevel"/>
    <w:tmpl w:val="56243346"/>
    <w:lvl w:ilvl="0" w:tplc="04090001">
      <w:start w:val="1"/>
      <w:numFmt w:val="bullet"/>
      <w:lvlText w:val=""/>
      <w:lvlJc w:val="left"/>
      <w:pPr>
        <w:ind w:left="720" w:hanging="360"/>
      </w:pPr>
      <w:rPr>
        <w:rFonts w:ascii="Symbol" w:hAnsi="Symbol" w:hint="default"/>
      </w:rPr>
    </w:lvl>
    <w:lvl w:ilvl="1" w:tplc="BD82AC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05105"/>
    <w:multiLevelType w:val="hybridMultilevel"/>
    <w:tmpl w:val="ED5C9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A7F97"/>
    <w:multiLevelType w:val="multilevel"/>
    <w:tmpl w:val="557003B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F7473C"/>
    <w:multiLevelType w:val="hybridMultilevel"/>
    <w:tmpl w:val="F12A8D5A"/>
    <w:lvl w:ilvl="0" w:tplc="676C0C0E">
      <w:start w:val="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C8A40D6"/>
    <w:multiLevelType w:val="hybridMultilevel"/>
    <w:tmpl w:val="18BA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15008"/>
    <w:multiLevelType w:val="hybridMultilevel"/>
    <w:tmpl w:val="F8D83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5E0DCB"/>
    <w:multiLevelType w:val="multilevel"/>
    <w:tmpl w:val="256E7AAE"/>
    <w:lvl w:ilvl="0">
      <w:start w:val="1"/>
      <w:numFmt w:val="decimal"/>
      <w:lvlText w:val="%1."/>
      <w:lvlJc w:val="left"/>
      <w:pPr>
        <w:ind w:left="36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73961026"/>
    <w:multiLevelType w:val="hybridMultilevel"/>
    <w:tmpl w:val="59F0E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1"/>
  </w:num>
  <w:num w:numId="6">
    <w:abstractNumId w:val="8"/>
  </w:num>
  <w:num w:numId="7">
    <w:abstractNumId w:val="7"/>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activeWritingStyle w:appName="MSWord" w:lang="en-US" w:vendorID="64" w:dllVersion="6" w:nlCheck="1" w:checkStyle="1"/>
  <w:activeWritingStyle w:appName="MSWord" w:lang="en-US" w:vendorID="64" w:dllVersion="4096" w:nlCheck="1" w:checkStyle="0"/>
  <w:proofState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52"/>
    <w:rsid w:val="000046CC"/>
    <w:rsid w:val="0002096D"/>
    <w:rsid w:val="00021833"/>
    <w:rsid w:val="000369F9"/>
    <w:rsid w:val="000633F0"/>
    <w:rsid w:val="0007220F"/>
    <w:rsid w:val="00091BE3"/>
    <w:rsid w:val="000F5A80"/>
    <w:rsid w:val="00100F82"/>
    <w:rsid w:val="00135649"/>
    <w:rsid w:val="0015473C"/>
    <w:rsid w:val="00167DCE"/>
    <w:rsid w:val="00180D14"/>
    <w:rsid w:val="0019175E"/>
    <w:rsid w:val="001D0EA0"/>
    <w:rsid w:val="001F0294"/>
    <w:rsid w:val="001F6839"/>
    <w:rsid w:val="00201EA0"/>
    <w:rsid w:val="00205A82"/>
    <w:rsid w:val="002421E6"/>
    <w:rsid w:val="00277C92"/>
    <w:rsid w:val="002B4A9C"/>
    <w:rsid w:val="002F0437"/>
    <w:rsid w:val="00300D90"/>
    <w:rsid w:val="0031504A"/>
    <w:rsid w:val="00317931"/>
    <w:rsid w:val="00317AC4"/>
    <w:rsid w:val="00332B66"/>
    <w:rsid w:val="00337EA4"/>
    <w:rsid w:val="003444CF"/>
    <w:rsid w:val="00344789"/>
    <w:rsid w:val="00360AF8"/>
    <w:rsid w:val="00385BB4"/>
    <w:rsid w:val="00392AE6"/>
    <w:rsid w:val="003A2D51"/>
    <w:rsid w:val="003E2CC9"/>
    <w:rsid w:val="003F2E0C"/>
    <w:rsid w:val="004213E5"/>
    <w:rsid w:val="004B575D"/>
    <w:rsid w:val="004C0F3D"/>
    <w:rsid w:val="004C5DFC"/>
    <w:rsid w:val="004E01C9"/>
    <w:rsid w:val="005042FA"/>
    <w:rsid w:val="00522208"/>
    <w:rsid w:val="00594975"/>
    <w:rsid w:val="005E6FD7"/>
    <w:rsid w:val="00610DD6"/>
    <w:rsid w:val="006309CD"/>
    <w:rsid w:val="006810E9"/>
    <w:rsid w:val="006B2F8A"/>
    <w:rsid w:val="006B4F14"/>
    <w:rsid w:val="006E45DC"/>
    <w:rsid w:val="006F4EC9"/>
    <w:rsid w:val="006F699E"/>
    <w:rsid w:val="00737694"/>
    <w:rsid w:val="00744FF9"/>
    <w:rsid w:val="00752179"/>
    <w:rsid w:val="007917CF"/>
    <w:rsid w:val="007B539B"/>
    <w:rsid w:val="007C07B2"/>
    <w:rsid w:val="007C1639"/>
    <w:rsid w:val="007C3B3A"/>
    <w:rsid w:val="008143D3"/>
    <w:rsid w:val="00832CFB"/>
    <w:rsid w:val="00833F9C"/>
    <w:rsid w:val="008655D0"/>
    <w:rsid w:val="00865F7C"/>
    <w:rsid w:val="00871CDF"/>
    <w:rsid w:val="0088072D"/>
    <w:rsid w:val="00884200"/>
    <w:rsid w:val="00892608"/>
    <w:rsid w:val="008D7624"/>
    <w:rsid w:val="008E1384"/>
    <w:rsid w:val="008E1AFE"/>
    <w:rsid w:val="00912E09"/>
    <w:rsid w:val="00916F69"/>
    <w:rsid w:val="009179EB"/>
    <w:rsid w:val="00956F89"/>
    <w:rsid w:val="00967665"/>
    <w:rsid w:val="0099673E"/>
    <w:rsid w:val="009A6199"/>
    <w:rsid w:val="009E015F"/>
    <w:rsid w:val="009F5087"/>
    <w:rsid w:val="00A343B9"/>
    <w:rsid w:val="00AD3067"/>
    <w:rsid w:val="00AE1475"/>
    <w:rsid w:val="00B163F8"/>
    <w:rsid w:val="00B30A7B"/>
    <w:rsid w:val="00B507FD"/>
    <w:rsid w:val="00B5481C"/>
    <w:rsid w:val="00B6283D"/>
    <w:rsid w:val="00BB6446"/>
    <w:rsid w:val="00BB667A"/>
    <w:rsid w:val="00BC15E1"/>
    <w:rsid w:val="00BD7C62"/>
    <w:rsid w:val="00BE3B94"/>
    <w:rsid w:val="00BF7156"/>
    <w:rsid w:val="00C07E29"/>
    <w:rsid w:val="00C14B55"/>
    <w:rsid w:val="00C27A3C"/>
    <w:rsid w:val="00C60343"/>
    <w:rsid w:val="00CC283A"/>
    <w:rsid w:val="00CD4DF0"/>
    <w:rsid w:val="00CD6272"/>
    <w:rsid w:val="00CE2450"/>
    <w:rsid w:val="00D17CBF"/>
    <w:rsid w:val="00D31CB4"/>
    <w:rsid w:val="00D47E52"/>
    <w:rsid w:val="00DA3F07"/>
    <w:rsid w:val="00DD750B"/>
    <w:rsid w:val="00DE1080"/>
    <w:rsid w:val="00E343F5"/>
    <w:rsid w:val="00FB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CB286D-C373-F643-86B5-115914E5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384"/>
  </w:style>
  <w:style w:type="paragraph" w:styleId="Heading2">
    <w:name w:val="heading 2"/>
    <w:basedOn w:val="Normal"/>
    <w:next w:val="Normal"/>
    <w:link w:val="Heading2Char"/>
    <w:uiPriority w:val="9"/>
    <w:unhideWhenUsed/>
    <w:qFormat/>
    <w:rsid w:val="00BD7C62"/>
    <w:pPr>
      <w:keepNext/>
      <w:keepLines/>
      <w:spacing w:before="240" w:after="240" w:line="240" w:lineRule="auto"/>
      <w:ind w:left="547" w:hanging="547"/>
      <w:jc w:val="both"/>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47E52"/>
    <w:rPr>
      <w:rFonts w:ascii="Courier New" w:eastAsia="Times New Roman" w:hAnsi="Courier New" w:cs="Courier New"/>
      <w:sz w:val="20"/>
      <w:szCs w:val="20"/>
    </w:rPr>
  </w:style>
  <w:style w:type="paragraph" w:styleId="ListParagraph">
    <w:name w:val="List Paragraph"/>
    <w:basedOn w:val="Normal"/>
    <w:uiPriority w:val="34"/>
    <w:qFormat/>
    <w:rsid w:val="00337EA4"/>
    <w:pPr>
      <w:ind w:left="720"/>
      <w:contextualSpacing/>
    </w:pPr>
  </w:style>
  <w:style w:type="paragraph" w:styleId="BodyText">
    <w:name w:val="Body Text"/>
    <w:basedOn w:val="Normal"/>
    <w:link w:val="BodyTextChar"/>
    <w:uiPriority w:val="1"/>
    <w:qFormat/>
    <w:rsid w:val="00A343B9"/>
    <w:pPr>
      <w:widowControl w:val="0"/>
      <w:autoSpaceDE w:val="0"/>
      <w:autoSpaceDN w:val="0"/>
      <w:spacing w:after="0" w:line="240" w:lineRule="auto"/>
    </w:pPr>
    <w:rPr>
      <w:rFonts w:eastAsia="Times New Roman" w:cs="Times New Roman"/>
      <w:szCs w:val="24"/>
      <w:lang w:bidi="en-US"/>
    </w:rPr>
  </w:style>
  <w:style w:type="character" w:customStyle="1" w:styleId="BodyTextChar">
    <w:name w:val="Body Text Char"/>
    <w:basedOn w:val="DefaultParagraphFont"/>
    <w:link w:val="BodyText"/>
    <w:uiPriority w:val="1"/>
    <w:rsid w:val="00A343B9"/>
    <w:rPr>
      <w:rFonts w:eastAsia="Times New Roman" w:cs="Times New Roman"/>
      <w:szCs w:val="24"/>
      <w:lang w:bidi="en-US"/>
    </w:rPr>
  </w:style>
  <w:style w:type="paragraph" w:styleId="BalloonText">
    <w:name w:val="Balloon Text"/>
    <w:basedOn w:val="Normal"/>
    <w:link w:val="BalloonTextChar"/>
    <w:uiPriority w:val="99"/>
    <w:semiHidden/>
    <w:unhideWhenUsed/>
    <w:rsid w:val="00A34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3B9"/>
    <w:rPr>
      <w:rFonts w:ascii="Tahoma" w:hAnsi="Tahoma" w:cs="Tahoma"/>
      <w:sz w:val="16"/>
      <w:szCs w:val="16"/>
    </w:rPr>
  </w:style>
  <w:style w:type="character" w:customStyle="1" w:styleId="Heading2Char">
    <w:name w:val="Heading 2 Char"/>
    <w:basedOn w:val="DefaultParagraphFont"/>
    <w:link w:val="Heading2"/>
    <w:uiPriority w:val="9"/>
    <w:rsid w:val="00BD7C62"/>
    <w:rPr>
      <w:rFonts w:eastAsiaTheme="majorEastAsia" w:cstheme="majorBidi"/>
      <w:b/>
      <w:bCs/>
      <w:color w:val="000000" w:themeColor="text1"/>
      <w:sz w:val="26"/>
      <w:szCs w:val="26"/>
    </w:rPr>
  </w:style>
  <w:style w:type="character" w:customStyle="1" w:styleId="tlid-translation">
    <w:name w:val="tlid-translation"/>
    <w:basedOn w:val="DefaultParagraphFont"/>
    <w:rsid w:val="00BD7C62"/>
  </w:style>
  <w:style w:type="character" w:styleId="Hyperlink">
    <w:name w:val="Hyperlink"/>
    <w:basedOn w:val="DefaultParagraphFont"/>
    <w:uiPriority w:val="99"/>
    <w:unhideWhenUsed/>
    <w:rsid w:val="00BD7C62"/>
    <w:rPr>
      <w:color w:val="0000FF"/>
      <w:u w:val="single"/>
    </w:rPr>
  </w:style>
  <w:style w:type="paragraph" w:customStyle="1" w:styleId="Default">
    <w:name w:val="Default"/>
    <w:rsid w:val="00884200"/>
    <w:pPr>
      <w:autoSpaceDE w:val="0"/>
      <w:autoSpaceDN w:val="0"/>
      <w:adjustRightInd w:val="0"/>
      <w:spacing w:after="0" w:line="240" w:lineRule="auto"/>
    </w:pPr>
    <w:rPr>
      <w:rFonts w:eastAsia="Calibri" w:cs="Times New Roman"/>
      <w:color w:val="000000"/>
      <w:szCs w:val="24"/>
    </w:rPr>
  </w:style>
  <w:style w:type="table" w:styleId="TableGrid">
    <w:name w:val="Table Grid"/>
    <w:basedOn w:val="TableNormal"/>
    <w:uiPriority w:val="39"/>
    <w:rsid w:val="003E2CC9"/>
    <w:pPr>
      <w:spacing w:after="0" w:line="240" w:lineRule="auto"/>
      <w:jc w:val="both"/>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128">
      <w:bodyDiv w:val="1"/>
      <w:marLeft w:val="0"/>
      <w:marRight w:val="0"/>
      <w:marTop w:val="0"/>
      <w:marBottom w:val="0"/>
      <w:divBdr>
        <w:top w:val="none" w:sz="0" w:space="0" w:color="auto"/>
        <w:left w:val="none" w:sz="0" w:space="0" w:color="auto"/>
        <w:bottom w:val="none" w:sz="0" w:space="0" w:color="auto"/>
        <w:right w:val="none" w:sz="0" w:space="0" w:color="auto"/>
      </w:divBdr>
      <w:divsChild>
        <w:div w:id="1580408396">
          <w:marLeft w:val="0"/>
          <w:marRight w:val="0"/>
          <w:marTop w:val="0"/>
          <w:marBottom w:val="0"/>
          <w:divBdr>
            <w:top w:val="none" w:sz="0" w:space="0" w:color="auto"/>
            <w:left w:val="none" w:sz="0" w:space="0" w:color="auto"/>
            <w:bottom w:val="none" w:sz="0" w:space="0" w:color="auto"/>
            <w:right w:val="none" w:sz="0" w:space="0" w:color="auto"/>
          </w:divBdr>
          <w:divsChild>
            <w:div w:id="1539584426">
              <w:marLeft w:val="0"/>
              <w:marRight w:val="0"/>
              <w:marTop w:val="0"/>
              <w:marBottom w:val="0"/>
              <w:divBdr>
                <w:top w:val="none" w:sz="0" w:space="0" w:color="auto"/>
                <w:left w:val="none" w:sz="0" w:space="0" w:color="auto"/>
                <w:bottom w:val="none" w:sz="0" w:space="0" w:color="auto"/>
                <w:right w:val="none" w:sz="0" w:space="0" w:color="auto"/>
              </w:divBdr>
              <w:divsChild>
                <w:div w:id="1309095992">
                  <w:marLeft w:val="0"/>
                  <w:marRight w:val="0"/>
                  <w:marTop w:val="0"/>
                  <w:marBottom w:val="0"/>
                  <w:divBdr>
                    <w:top w:val="none" w:sz="0" w:space="0" w:color="auto"/>
                    <w:left w:val="none" w:sz="0" w:space="0" w:color="auto"/>
                    <w:bottom w:val="none" w:sz="0" w:space="0" w:color="auto"/>
                    <w:right w:val="none" w:sz="0" w:space="0" w:color="auto"/>
                  </w:divBdr>
                  <w:divsChild>
                    <w:div w:id="1749695611">
                      <w:marLeft w:val="0"/>
                      <w:marRight w:val="0"/>
                      <w:marTop w:val="0"/>
                      <w:marBottom w:val="0"/>
                      <w:divBdr>
                        <w:top w:val="none" w:sz="0" w:space="0" w:color="auto"/>
                        <w:left w:val="none" w:sz="0" w:space="0" w:color="auto"/>
                        <w:bottom w:val="none" w:sz="0" w:space="0" w:color="auto"/>
                        <w:right w:val="none" w:sz="0" w:space="0" w:color="auto"/>
                      </w:divBdr>
                      <w:divsChild>
                        <w:div w:id="304354682">
                          <w:marLeft w:val="0"/>
                          <w:marRight w:val="0"/>
                          <w:marTop w:val="0"/>
                          <w:marBottom w:val="0"/>
                          <w:divBdr>
                            <w:top w:val="none" w:sz="0" w:space="0" w:color="auto"/>
                            <w:left w:val="none" w:sz="0" w:space="0" w:color="auto"/>
                            <w:bottom w:val="none" w:sz="0" w:space="0" w:color="auto"/>
                            <w:right w:val="none" w:sz="0" w:space="0" w:color="auto"/>
                          </w:divBdr>
                          <w:divsChild>
                            <w:div w:id="1803958322">
                              <w:marLeft w:val="0"/>
                              <w:marRight w:val="0"/>
                              <w:marTop w:val="0"/>
                              <w:marBottom w:val="0"/>
                              <w:divBdr>
                                <w:top w:val="none" w:sz="0" w:space="0" w:color="auto"/>
                                <w:left w:val="none" w:sz="0" w:space="0" w:color="auto"/>
                                <w:bottom w:val="none" w:sz="0" w:space="0" w:color="auto"/>
                                <w:right w:val="none" w:sz="0" w:space="0" w:color="auto"/>
                              </w:divBdr>
                              <w:divsChild>
                                <w:div w:id="1701323845">
                                  <w:marLeft w:val="0"/>
                                  <w:marRight w:val="0"/>
                                  <w:marTop w:val="0"/>
                                  <w:marBottom w:val="0"/>
                                  <w:divBdr>
                                    <w:top w:val="none" w:sz="0" w:space="0" w:color="auto"/>
                                    <w:left w:val="none" w:sz="0" w:space="0" w:color="auto"/>
                                    <w:bottom w:val="none" w:sz="0" w:space="0" w:color="auto"/>
                                    <w:right w:val="none" w:sz="0" w:space="0" w:color="auto"/>
                                  </w:divBdr>
                                </w:div>
                              </w:divsChild>
                            </w:div>
                            <w:div w:id="354573079">
                              <w:marLeft w:val="0"/>
                              <w:marRight w:val="0"/>
                              <w:marTop w:val="0"/>
                              <w:marBottom w:val="0"/>
                              <w:divBdr>
                                <w:top w:val="none" w:sz="0" w:space="0" w:color="auto"/>
                                <w:left w:val="none" w:sz="0" w:space="0" w:color="auto"/>
                                <w:bottom w:val="none" w:sz="0" w:space="0" w:color="auto"/>
                                <w:right w:val="none" w:sz="0" w:space="0" w:color="auto"/>
                              </w:divBdr>
                              <w:divsChild>
                                <w:div w:id="1883055531">
                                  <w:marLeft w:val="0"/>
                                  <w:marRight w:val="0"/>
                                  <w:marTop w:val="0"/>
                                  <w:marBottom w:val="0"/>
                                  <w:divBdr>
                                    <w:top w:val="none" w:sz="0" w:space="0" w:color="auto"/>
                                    <w:left w:val="none" w:sz="0" w:space="0" w:color="auto"/>
                                    <w:bottom w:val="none" w:sz="0" w:space="0" w:color="auto"/>
                                    <w:right w:val="none" w:sz="0" w:space="0" w:color="auto"/>
                                  </w:divBdr>
                                  <w:divsChild>
                                    <w:div w:id="1997032539">
                                      <w:marLeft w:val="0"/>
                                      <w:marRight w:val="15"/>
                                      <w:marTop w:val="0"/>
                                      <w:marBottom w:val="0"/>
                                      <w:divBdr>
                                        <w:top w:val="none" w:sz="0" w:space="0" w:color="auto"/>
                                        <w:left w:val="none" w:sz="0" w:space="0" w:color="auto"/>
                                        <w:bottom w:val="none" w:sz="0" w:space="0" w:color="auto"/>
                                        <w:right w:val="none" w:sz="0" w:space="0" w:color="auto"/>
                                      </w:divBdr>
                                      <w:divsChild>
                                        <w:div w:id="107089984">
                                          <w:marLeft w:val="0"/>
                                          <w:marRight w:val="0"/>
                                          <w:marTop w:val="0"/>
                                          <w:marBottom w:val="0"/>
                                          <w:divBdr>
                                            <w:top w:val="none" w:sz="0" w:space="0" w:color="auto"/>
                                            <w:left w:val="none" w:sz="0" w:space="0" w:color="auto"/>
                                            <w:bottom w:val="none" w:sz="0" w:space="0" w:color="auto"/>
                                            <w:right w:val="none" w:sz="0" w:space="0" w:color="auto"/>
                                          </w:divBdr>
                                          <w:divsChild>
                                            <w:div w:id="643048294">
                                              <w:marLeft w:val="0"/>
                                              <w:marRight w:val="0"/>
                                              <w:marTop w:val="0"/>
                                              <w:marBottom w:val="0"/>
                                              <w:divBdr>
                                                <w:top w:val="none" w:sz="0" w:space="0" w:color="auto"/>
                                                <w:left w:val="none" w:sz="0" w:space="0" w:color="auto"/>
                                                <w:bottom w:val="none" w:sz="0" w:space="0" w:color="auto"/>
                                                <w:right w:val="none" w:sz="0" w:space="0" w:color="auto"/>
                                              </w:divBdr>
                                              <w:divsChild>
                                                <w:div w:id="18662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580379">
          <w:marLeft w:val="0"/>
          <w:marRight w:val="0"/>
          <w:marTop w:val="0"/>
          <w:marBottom w:val="0"/>
          <w:divBdr>
            <w:top w:val="none" w:sz="0" w:space="0" w:color="auto"/>
            <w:left w:val="none" w:sz="0" w:space="0" w:color="auto"/>
            <w:bottom w:val="none" w:sz="0" w:space="0" w:color="auto"/>
            <w:right w:val="none" w:sz="0" w:space="0" w:color="auto"/>
          </w:divBdr>
          <w:divsChild>
            <w:div w:id="1398014812">
              <w:marLeft w:val="465"/>
              <w:marRight w:val="465"/>
              <w:marTop w:val="0"/>
              <w:marBottom w:val="0"/>
              <w:divBdr>
                <w:top w:val="none" w:sz="0" w:space="0" w:color="auto"/>
                <w:left w:val="none" w:sz="0" w:space="0" w:color="auto"/>
                <w:bottom w:val="none" w:sz="0" w:space="0" w:color="auto"/>
                <w:right w:val="none" w:sz="0" w:space="0" w:color="auto"/>
              </w:divBdr>
              <w:divsChild>
                <w:div w:id="1454443653">
                  <w:marLeft w:val="0"/>
                  <w:marRight w:val="0"/>
                  <w:marTop w:val="0"/>
                  <w:marBottom w:val="0"/>
                  <w:divBdr>
                    <w:top w:val="none" w:sz="0" w:space="0" w:color="auto"/>
                    <w:left w:val="none" w:sz="0" w:space="0" w:color="auto"/>
                    <w:bottom w:val="none" w:sz="0" w:space="0" w:color="auto"/>
                    <w:right w:val="none" w:sz="0" w:space="0" w:color="auto"/>
                  </w:divBdr>
                  <w:divsChild>
                    <w:div w:id="17728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005701">
      <w:bodyDiv w:val="1"/>
      <w:marLeft w:val="0"/>
      <w:marRight w:val="0"/>
      <w:marTop w:val="0"/>
      <w:marBottom w:val="0"/>
      <w:divBdr>
        <w:top w:val="none" w:sz="0" w:space="0" w:color="auto"/>
        <w:left w:val="none" w:sz="0" w:space="0" w:color="auto"/>
        <w:bottom w:val="none" w:sz="0" w:space="0" w:color="auto"/>
        <w:right w:val="none" w:sz="0" w:space="0" w:color="auto"/>
      </w:divBdr>
    </w:div>
    <w:div w:id="246157576">
      <w:bodyDiv w:val="1"/>
      <w:marLeft w:val="0"/>
      <w:marRight w:val="0"/>
      <w:marTop w:val="0"/>
      <w:marBottom w:val="0"/>
      <w:divBdr>
        <w:top w:val="none" w:sz="0" w:space="0" w:color="auto"/>
        <w:left w:val="none" w:sz="0" w:space="0" w:color="auto"/>
        <w:bottom w:val="none" w:sz="0" w:space="0" w:color="auto"/>
        <w:right w:val="none" w:sz="0" w:space="0" w:color="auto"/>
      </w:divBdr>
    </w:div>
    <w:div w:id="360739918">
      <w:bodyDiv w:val="1"/>
      <w:marLeft w:val="0"/>
      <w:marRight w:val="0"/>
      <w:marTop w:val="0"/>
      <w:marBottom w:val="0"/>
      <w:divBdr>
        <w:top w:val="none" w:sz="0" w:space="0" w:color="auto"/>
        <w:left w:val="none" w:sz="0" w:space="0" w:color="auto"/>
        <w:bottom w:val="none" w:sz="0" w:space="0" w:color="auto"/>
        <w:right w:val="none" w:sz="0" w:space="0" w:color="auto"/>
      </w:divBdr>
    </w:div>
    <w:div w:id="424418349">
      <w:bodyDiv w:val="1"/>
      <w:marLeft w:val="0"/>
      <w:marRight w:val="0"/>
      <w:marTop w:val="0"/>
      <w:marBottom w:val="0"/>
      <w:divBdr>
        <w:top w:val="none" w:sz="0" w:space="0" w:color="auto"/>
        <w:left w:val="none" w:sz="0" w:space="0" w:color="auto"/>
        <w:bottom w:val="none" w:sz="0" w:space="0" w:color="auto"/>
        <w:right w:val="none" w:sz="0" w:space="0" w:color="auto"/>
      </w:divBdr>
    </w:div>
    <w:div w:id="478770373">
      <w:bodyDiv w:val="1"/>
      <w:marLeft w:val="0"/>
      <w:marRight w:val="0"/>
      <w:marTop w:val="0"/>
      <w:marBottom w:val="0"/>
      <w:divBdr>
        <w:top w:val="none" w:sz="0" w:space="0" w:color="auto"/>
        <w:left w:val="none" w:sz="0" w:space="0" w:color="auto"/>
        <w:bottom w:val="none" w:sz="0" w:space="0" w:color="auto"/>
        <w:right w:val="none" w:sz="0" w:space="0" w:color="auto"/>
      </w:divBdr>
    </w:div>
    <w:div w:id="643050095">
      <w:bodyDiv w:val="1"/>
      <w:marLeft w:val="0"/>
      <w:marRight w:val="0"/>
      <w:marTop w:val="0"/>
      <w:marBottom w:val="0"/>
      <w:divBdr>
        <w:top w:val="none" w:sz="0" w:space="0" w:color="auto"/>
        <w:left w:val="none" w:sz="0" w:space="0" w:color="auto"/>
        <w:bottom w:val="none" w:sz="0" w:space="0" w:color="auto"/>
        <w:right w:val="none" w:sz="0" w:space="0" w:color="auto"/>
      </w:divBdr>
    </w:div>
    <w:div w:id="676888540">
      <w:bodyDiv w:val="1"/>
      <w:marLeft w:val="0"/>
      <w:marRight w:val="0"/>
      <w:marTop w:val="0"/>
      <w:marBottom w:val="0"/>
      <w:divBdr>
        <w:top w:val="none" w:sz="0" w:space="0" w:color="auto"/>
        <w:left w:val="none" w:sz="0" w:space="0" w:color="auto"/>
        <w:bottom w:val="none" w:sz="0" w:space="0" w:color="auto"/>
        <w:right w:val="none" w:sz="0" w:space="0" w:color="auto"/>
      </w:divBdr>
    </w:div>
    <w:div w:id="816266084">
      <w:bodyDiv w:val="1"/>
      <w:marLeft w:val="0"/>
      <w:marRight w:val="0"/>
      <w:marTop w:val="0"/>
      <w:marBottom w:val="0"/>
      <w:divBdr>
        <w:top w:val="none" w:sz="0" w:space="0" w:color="auto"/>
        <w:left w:val="none" w:sz="0" w:space="0" w:color="auto"/>
        <w:bottom w:val="none" w:sz="0" w:space="0" w:color="auto"/>
        <w:right w:val="none" w:sz="0" w:space="0" w:color="auto"/>
      </w:divBdr>
    </w:div>
    <w:div w:id="821969676">
      <w:bodyDiv w:val="1"/>
      <w:marLeft w:val="0"/>
      <w:marRight w:val="0"/>
      <w:marTop w:val="0"/>
      <w:marBottom w:val="0"/>
      <w:divBdr>
        <w:top w:val="none" w:sz="0" w:space="0" w:color="auto"/>
        <w:left w:val="none" w:sz="0" w:space="0" w:color="auto"/>
        <w:bottom w:val="none" w:sz="0" w:space="0" w:color="auto"/>
        <w:right w:val="none" w:sz="0" w:space="0" w:color="auto"/>
      </w:divBdr>
    </w:div>
    <w:div w:id="1098795507">
      <w:bodyDiv w:val="1"/>
      <w:marLeft w:val="0"/>
      <w:marRight w:val="0"/>
      <w:marTop w:val="0"/>
      <w:marBottom w:val="0"/>
      <w:divBdr>
        <w:top w:val="none" w:sz="0" w:space="0" w:color="auto"/>
        <w:left w:val="none" w:sz="0" w:space="0" w:color="auto"/>
        <w:bottom w:val="none" w:sz="0" w:space="0" w:color="auto"/>
        <w:right w:val="none" w:sz="0" w:space="0" w:color="auto"/>
      </w:divBdr>
    </w:div>
    <w:div w:id="1162894119">
      <w:bodyDiv w:val="1"/>
      <w:marLeft w:val="0"/>
      <w:marRight w:val="0"/>
      <w:marTop w:val="0"/>
      <w:marBottom w:val="0"/>
      <w:divBdr>
        <w:top w:val="none" w:sz="0" w:space="0" w:color="auto"/>
        <w:left w:val="none" w:sz="0" w:space="0" w:color="auto"/>
        <w:bottom w:val="none" w:sz="0" w:space="0" w:color="auto"/>
        <w:right w:val="none" w:sz="0" w:space="0" w:color="auto"/>
      </w:divBdr>
    </w:div>
    <w:div w:id="1235508679">
      <w:bodyDiv w:val="1"/>
      <w:marLeft w:val="0"/>
      <w:marRight w:val="0"/>
      <w:marTop w:val="0"/>
      <w:marBottom w:val="0"/>
      <w:divBdr>
        <w:top w:val="none" w:sz="0" w:space="0" w:color="auto"/>
        <w:left w:val="none" w:sz="0" w:space="0" w:color="auto"/>
        <w:bottom w:val="none" w:sz="0" w:space="0" w:color="auto"/>
        <w:right w:val="none" w:sz="0" w:space="0" w:color="auto"/>
      </w:divBdr>
    </w:div>
    <w:div w:id="1277832449">
      <w:bodyDiv w:val="1"/>
      <w:marLeft w:val="0"/>
      <w:marRight w:val="0"/>
      <w:marTop w:val="0"/>
      <w:marBottom w:val="0"/>
      <w:divBdr>
        <w:top w:val="none" w:sz="0" w:space="0" w:color="auto"/>
        <w:left w:val="none" w:sz="0" w:space="0" w:color="auto"/>
        <w:bottom w:val="none" w:sz="0" w:space="0" w:color="auto"/>
        <w:right w:val="none" w:sz="0" w:space="0" w:color="auto"/>
      </w:divBdr>
    </w:div>
    <w:div w:id="1347437018">
      <w:bodyDiv w:val="1"/>
      <w:marLeft w:val="0"/>
      <w:marRight w:val="0"/>
      <w:marTop w:val="0"/>
      <w:marBottom w:val="0"/>
      <w:divBdr>
        <w:top w:val="none" w:sz="0" w:space="0" w:color="auto"/>
        <w:left w:val="none" w:sz="0" w:space="0" w:color="auto"/>
        <w:bottom w:val="none" w:sz="0" w:space="0" w:color="auto"/>
        <w:right w:val="none" w:sz="0" w:space="0" w:color="auto"/>
      </w:divBdr>
    </w:div>
    <w:div w:id="1551383063">
      <w:bodyDiv w:val="1"/>
      <w:marLeft w:val="0"/>
      <w:marRight w:val="0"/>
      <w:marTop w:val="0"/>
      <w:marBottom w:val="0"/>
      <w:divBdr>
        <w:top w:val="none" w:sz="0" w:space="0" w:color="auto"/>
        <w:left w:val="none" w:sz="0" w:space="0" w:color="auto"/>
        <w:bottom w:val="none" w:sz="0" w:space="0" w:color="auto"/>
        <w:right w:val="none" w:sz="0" w:space="0" w:color="auto"/>
      </w:divBdr>
    </w:div>
    <w:div w:id="1551989119">
      <w:bodyDiv w:val="1"/>
      <w:marLeft w:val="0"/>
      <w:marRight w:val="0"/>
      <w:marTop w:val="0"/>
      <w:marBottom w:val="0"/>
      <w:divBdr>
        <w:top w:val="none" w:sz="0" w:space="0" w:color="auto"/>
        <w:left w:val="none" w:sz="0" w:space="0" w:color="auto"/>
        <w:bottom w:val="none" w:sz="0" w:space="0" w:color="auto"/>
        <w:right w:val="none" w:sz="0" w:space="0" w:color="auto"/>
      </w:divBdr>
    </w:div>
    <w:div w:id="1611858799">
      <w:bodyDiv w:val="1"/>
      <w:marLeft w:val="0"/>
      <w:marRight w:val="0"/>
      <w:marTop w:val="0"/>
      <w:marBottom w:val="0"/>
      <w:divBdr>
        <w:top w:val="none" w:sz="0" w:space="0" w:color="auto"/>
        <w:left w:val="none" w:sz="0" w:space="0" w:color="auto"/>
        <w:bottom w:val="none" w:sz="0" w:space="0" w:color="auto"/>
        <w:right w:val="none" w:sz="0" w:space="0" w:color="auto"/>
      </w:divBdr>
    </w:div>
    <w:div w:id="1689214446">
      <w:bodyDiv w:val="1"/>
      <w:marLeft w:val="0"/>
      <w:marRight w:val="0"/>
      <w:marTop w:val="0"/>
      <w:marBottom w:val="0"/>
      <w:divBdr>
        <w:top w:val="none" w:sz="0" w:space="0" w:color="auto"/>
        <w:left w:val="none" w:sz="0" w:space="0" w:color="auto"/>
        <w:bottom w:val="none" w:sz="0" w:space="0" w:color="auto"/>
        <w:right w:val="none" w:sz="0" w:space="0" w:color="auto"/>
      </w:divBdr>
    </w:div>
    <w:div w:id="1757169328">
      <w:bodyDiv w:val="1"/>
      <w:marLeft w:val="0"/>
      <w:marRight w:val="0"/>
      <w:marTop w:val="0"/>
      <w:marBottom w:val="0"/>
      <w:divBdr>
        <w:top w:val="none" w:sz="0" w:space="0" w:color="auto"/>
        <w:left w:val="none" w:sz="0" w:space="0" w:color="auto"/>
        <w:bottom w:val="none" w:sz="0" w:space="0" w:color="auto"/>
        <w:right w:val="none" w:sz="0" w:space="0" w:color="auto"/>
      </w:divBdr>
    </w:div>
    <w:div w:id="1864203507">
      <w:bodyDiv w:val="1"/>
      <w:marLeft w:val="0"/>
      <w:marRight w:val="0"/>
      <w:marTop w:val="0"/>
      <w:marBottom w:val="0"/>
      <w:divBdr>
        <w:top w:val="none" w:sz="0" w:space="0" w:color="auto"/>
        <w:left w:val="none" w:sz="0" w:space="0" w:color="auto"/>
        <w:bottom w:val="none" w:sz="0" w:space="0" w:color="auto"/>
        <w:right w:val="none" w:sz="0" w:space="0" w:color="auto"/>
      </w:divBdr>
    </w:div>
    <w:div w:id="1912960501">
      <w:bodyDiv w:val="1"/>
      <w:marLeft w:val="0"/>
      <w:marRight w:val="0"/>
      <w:marTop w:val="0"/>
      <w:marBottom w:val="0"/>
      <w:divBdr>
        <w:top w:val="none" w:sz="0" w:space="0" w:color="auto"/>
        <w:left w:val="none" w:sz="0" w:space="0" w:color="auto"/>
        <w:bottom w:val="none" w:sz="0" w:space="0" w:color="auto"/>
        <w:right w:val="none" w:sz="0" w:space="0" w:color="auto"/>
      </w:divBdr>
    </w:div>
    <w:div w:id="1962953376">
      <w:bodyDiv w:val="1"/>
      <w:marLeft w:val="0"/>
      <w:marRight w:val="0"/>
      <w:marTop w:val="0"/>
      <w:marBottom w:val="0"/>
      <w:divBdr>
        <w:top w:val="none" w:sz="0" w:space="0" w:color="auto"/>
        <w:left w:val="none" w:sz="0" w:space="0" w:color="auto"/>
        <w:bottom w:val="none" w:sz="0" w:space="0" w:color="auto"/>
        <w:right w:val="none" w:sz="0" w:space="0" w:color="auto"/>
      </w:divBdr>
    </w:div>
    <w:div w:id="2029141669">
      <w:bodyDiv w:val="1"/>
      <w:marLeft w:val="0"/>
      <w:marRight w:val="0"/>
      <w:marTop w:val="0"/>
      <w:marBottom w:val="0"/>
      <w:divBdr>
        <w:top w:val="none" w:sz="0" w:space="0" w:color="auto"/>
        <w:left w:val="none" w:sz="0" w:space="0" w:color="auto"/>
        <w:bottom w:val="none" w:sz="0" w:space="0" w:color="auto"/>
        <w:right w:val="none" w:sz="0" w:space="0" w:color="auto"/>
      </w:divBdr>
    </w:div>
    <w:div w:id="207639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thuy\Desktop\B&#225;o%20c&#225;o\D&#7919;%20li&#7879;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2">
                <a:lumMod val="60000"/>
                <a:lumOff val="40000"/>
              </a:schemeClr>
            </a:solidFill>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CBTT!$C$25:$C$45</c:f>
              <c:strCache>
                <c:ptCount val="21"/>
                <c:pt idx="0">
                  <c:v>SGB</c:v>
                </c:pt>
                <c:pt idx="1">
                  <c:v>LPB</c:v>
                </c:pt>
                <c:pt idx="2">
                  <c:v>NVB</c:v>
                </c:pt>
                <c:pt idx="3">
                  <c:v>SeABank</c:v>
                </c:pt>
                <c:pt idx="4">
                  <c:v>KLB</c:v>
                </c:pt>
                <c:pt idx="5">
                  <c:v>BAB</c:v>
                </c:pt>
                <c:pt idx="6">
                  <c:v>HDB</c:v>
                </c:pt>
                <c:pt idx="7">
                  <c:v>EIB</c:v>
                </c:pt>
                <c:pt idx="8">
                  <c:v>VIB</c:v>
                </c:pt>
                <c:pt idx="9">
                  <c:v>TPB</c:v>
                </c:pt>
                <c:pt idx="10">
                  <c:v>TCB</c:v>
                </c:pt>
                <c:pt idx="11">
                  <c:v>ABB</c:v>
                </c:pt>
                <c:pt idx="12">
                  <c:v>MSB</c:v>
                </c:pt>
                <c:pt idx="13">
                  <c:v>VPB</c:v>
                </c:pt>
                <c:pt idx="14">
                  <c:v>BID</c:v>
                </c:pt>
                <c:pt idx="15">
                  <c:v>MBB</c:v>
                </c:pt>
                <c:pt idx="16">
                  <c:v>ACB</c:v>
                </c:pt>
                <c:pt idx="17">
                  <c:v>STB</c:v>
                </c:pt>
                <c:pt idx="18">
                  <c:v>SHB</c:v>
                </c:pt>
                <c:pt idx="19">
                  <c:v>CTG</c:v>
                </c:pt>
                <c:pt idx="20">
                  <c:v>VCB</c:v>
                </c:pt>
              </c:strCache>
            </c:strRef>
          </c:cat>
          <c:val>
            <c:numRef>
              <c:f>CBTT!$D$25:$D$45</c:f>
              <c:numCache>
                <c:formatCode>0%</c:formatCode>
                <c:ptCount val="21"/>
                <c:pt idx="0">
                  <c:v>0.22580645161290433</c:v>
                </c:pt>
                <c:pt idx="1">
                  <c:v>0.41935483870968115</c:v>
                </c:pt>
                <c:pt idx="2">
                  <c:v>0.41935483870968115</c:v>
                </c:pt>
                <c:pt idx="3">
                  <c:v>0.48387096774193944</c:v>
                </c:pt>
                <c:pt idx="4">
                  <c:v>0.51612903225807027</c:v>
                </c:pt>
                <c:pt idx="5">
                  <c:v>0.54838709677419362</c:v>
                </c:pt>
                <c:pt idx="6">
                  <c:v>0.54838709677419362</c:v>
                </c:pt>
                <c:pt idx="7">
                  <c:v>0.58064516129032251</c:v>
                </c:pt>
                <c:pt idx="8">
                  <c:v>0.58064516129032251</c:v>
                </c:pt>
                <c:pt idx="9">
                  <c:v>0.61290322580645151</c:v>
                </c:pt>
                <c:pt idx="10">
                  <c:v>0.64516129032258673</c:v>
                </c:pt>
                <c:pt idx="11">
                  <c:v>0.67741935483870963</c:v>
                </c:pt>
                <c:pt idx="12">
                  <c:v>0.67741935483870963</c:v>
                </c:pt>
                <c:pt idx="13">
                  <c:v>0.67741935483870963</c:v>
                </c:pt>
                <c:pt idx="14">
                  <c:v>0.70967741935484518</c:v>
                </c:pt>
                <c:pt idx="15">
                  <c:v>0.77419354838709664</c:v>
                </c:pt>
                <c:pt idx="16">
                  <c:v>0.80645161290322664</c:v>
                </c:pt>
                <c:pt idx="17">
                  <c:v>0.83870967741936231</c:v>
                </c:pt>
                <c:pt idx="18">
                  <c:v>0.90322580645161465</c:v>
                </c:pt>
                <c:pt idx="19">
                  <c:v>0.96774193548388321</c:v>
                </c:pt>
                <c:pt idx="20">
                  <c:v>0.96774193548388321</c:v>
                </c:pt>
              </c:numCache>
            </c:numRef>
          </c:val>
          <c:extLst>
            <c:ext xmlns:c16="http://schemas.microsoft.com/office/drawing/2014/chart" uri="{C3380CC4-5D6E-409C-BE32-E72D297353CC}">
              <c16:uniqueId val="{00000000-7EC2-F045-97F0-D0D65BF0F818}"/>
            </c:ext>
          </c:extLst>
        </c:ser>
        <c:dLbls>
          <c:showLegendKey val="0"/>
          <c:showVal val="1"/>
          <c:showCatName val="0"/>
          <c:showSerName val="0"/>
          <c:showPercent val="0"/>
          <c:showBubbleSize val="0"/>
        </c:dLbls>
        <c:gapWidth val="150"/>
        <c:overlap val="-25"/>
        <c:axId val="98329728"/>
        <c:axId val="141354496"/>
      </c:barChart>
      <c:catAx>
        <c:axId val="98329728"/>
        <c:scaling>
          <c:orientation val="minMax"/>
        </c:scaling>
        <c:delete val="0"/>
        <c:axPos val="b"/>
        <c:numFmt formatCode="General" sourceLinked="0"/>
        <c:majorTickMark val="none"/>
        <c:minorTickMark val="none"/>
        <c:tickLblPos val="nextTo"/>
        <c:crossAx val="141354496"/>
        <c:crosses val="autoZero"/>
        <c:auto val="1"/>
        <c:lblAlgn val="ctr"/>
        <c:lblOffset val="100"/>
        <c:noMultiLvlLbl val="0"/>
      </c:catAx>
      <c:valAx>
        <c:axId val="141354496"/>
        <c:scaling>
          <c:orientation val="minMax"/>
        </c:scaling>
        <c:delete val="1"/>
        <c:axPos val="l"/>
        <c:numFmt formatCode="0%" sourceLinked="1"/>
        <c:majorTickMark val="out"/>
        <c:minorTickMark val="none"/>
        <c:tickLblPos val="nextTo"/>
        <c:crossAx val="983297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Sheet1!$B$3:$B$7</c:f>
              <c:strCache>
                <c:ptCount val="5"/>
                <c:pt idx="0">
                  <c:v>Voluntary information</c:v>
                </c:pt>
                <c:pt idx="1">
                  <c:v>A.General Information</c:v>
                </c:pt>
                <c:pt idx="2">
                  <c:v>B.Social responsibility</c:v>
                </c:pt>
                <c:pt idx="3">
                  <c:v>C.Corporate Governence</c:v>
                </c:pt>
                <c:pt idx="4">
                  <c:v>D.Financial Information and Statistics</c:v>
                </c:pt>
              </c:strCache>
            </c:strRef>
          </c:cat>
          <c:val>
            <c:numRef>
              <c:f>Sheet1!$C$3:$C$7</c:f>
              <c:numCache>
                <c:formatCode>0%</c:formatCode>
                <c:ptCount val="5"/>
                <c:pt idx="0">
                  <c:v>0.65000000000000036</c:v>
                </c:pt>
                <c:pt idx="1">
                  <c:v>0.89</c:v>
                </c:pt>
                <c:pt idx="2">
                  <c:v>0.30000000000000016</c:v>
                </c:pt>
                <c:pt idx="3">
                  <c:v>0.72000000000000031</c:v>
                </c:pt>
                <c:pt idx="4">
                  <c:v>0.58000000000000007</c:v>
                </c:pt>
              </c:numCache>
            </c:numRef>
          </c:val>
          <c:extLst>
            <c:ext xmlns:c16="http://schemas.microsoft.com/office/drawing/2014/chart" uri="{C3380CC4-5D6E-409C-BE32-E72D297353CC}">
              <c16:uniqueId val="{00000000-DEC6-0F48-A120-8F06D591E6CD}"/>
            </c:ext>
          </c:extLst>
        </c:ser>
        <c:dLbls>
          <c:showLegendKey val="0"/>
          <c:showVal val="1"/>
          <c:showCatName val="0"/>
          <c:showSerName val="0"/>
          <c:showPercent val="0"/>
          <c:showBubbleSize val="0"/>
        </c:dLbls>
        <c:gapWidth val="75"/>
        <c:shape val="cylinder"/>
        <c:axId val="56854016"/>
        <c:axId val="56855552"/>
        <c:axId val="0"/>
      </c:bar3DChart>
      <c:catAx>
        <c:axId val="56854016"/>
        <c:scaling>
          <c:orientation val="minMax"/>
        </c:scaling>
        <c:delete val="0"/>
        <c:axPos val="b"/>
        <c:numFmt formatCode="General" sourceLinked="0"/>
        <c:majorTickMark val="none"/>
        <c:minorTickMark val="none"/>
        <c:tickLblPos val="nextTo"/>
        <c:crossAx val="56855552"/>
        <c:crosses val="autoZero"/>
        <c:auto val="1"/>
        <c:lblAlgn val="ctr"/>
        <c:lblOffset val="100"/>
        <c:noMultiLvlLbl val="0"/>
      </c:catAx>
      <c:valAx>
        <c:axId val="56855552"/>
        <c:scaling>
          <c:orientation val="minMax"/>
        </c:scaling>
        <c:delete val="1"/>
        <c:axPos val="l"/>
        <c:numFmt formatCode="0%" sourceLinked="1"/>
        <c:majorTickMark val="none"/>
        <c:minorTickMark val="none"/>
        <c:tickLblPos val="nextTo"/>
        <c:crossAx val="568540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5321</Words>
  <Characters>30333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Microsoft Office User</cp:lastModifiedBy>
  <cp:revision>2</cp:revision>
  <dcterms:created xsi:type="dcterms:W3CDTF">2019-07-11T02:08:00Z</dcterms:created>
  <dcterms:modified xsi:type="dcterms:W3CDTF">2019-07-11T02:08:00Z</dcterms:modified>
</cp:coreProperties>
</file>