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6F60" w14:textId="252C850A" w:rsidR="00DA130A" w:rsidRPr="00943BE6" w:rsidRDefault="003116D8" w:rsidP="001C7C89">
      <w:pPr>
        <w:pStyle w:val="papertitle"/>
        <w:spacing w:before="120" w:after="120" w:line="360" w:lineRule="auto"/>
        <w:ind w:firstLine="227"/>
        <w:rPr>
          <w:rFonts w:ascii="Palatino Linotype" w:hAnsi="Palatino Linotype"/>
          <w:szCs w:val="28"/>
        </w:rPr>
      </w:pPr>
      <w:bookmarkStart w:id="0" w:name="_Hlk218400808"/>
      <w:r w:rsidRPr="00943BE6">
        <w:rPr>
          <w:rFonts w:ascii="Palatino Linotype" w:hAnsi="Palatino Linotype"/>
          <w:szCs w:val="28"/>
        </w:rPr>
        <w:t>Short-Term Bitcoin Forecasting Across Multiple Horizons: The Effectiveness of GRU Networks</w:t>
      </w:r>
    </w:p>
    <w:bookmarkEnd w:id="0"/>
    <w:p w14:paraId="77C44B86" w14:textId="50DE05A6" w:rsidR="005D26A9" w:rsidRPr="00943BE6" w:rsidRDefault="00672806" w:rsidP="005D26A9">
      <w:pPr>
        <w:suppressAutoHyphens/>
        <w:overflowPunct/>
        <w:autoSpaceDE/>
        <w:autoSpaceDN/>
        <w:adjustRightInd/>
        <w:spacing w:before="60" w:after="60" w:line="312" w:lineRule="auto"/>
        <w:jc w:val="center"/>
        <w:textDirection w:val="btLr"/>
        <w:textAlignment w:val="top"/>
        <w:outlineLvl w:val="0"/>
        <w:rPr>
          <w:sz w:val="24"/>
          <w:szCs w:val="24"/>
          <w:vertAlign w:val="superscript"/>
        </w:rPr>
      </w:pPr>
      <w:r w:rsidRPr="00943BE6">
        <w:rPr>
          <w:rFonts w:ascii="Palatino Linotype" w:hAnsi="Palatino Linotype"/>
          <w:b/>
          <w:bCs/>
        </w:rPr>
        <w:t>Hoa Tran Thai</w:t>
      </w:r>
      <w:r w:rsidR="005D26A9" w:rsidRPr="00943BE6">
        <w:rPr>
          <w:rFonts w:ascii="Palatino Linotype" w:hAnsi="Palatino Linotype"/>
          <w:b/>
          <w:bCs/>
          <w:vertAlign w:val="superscript"/>
        </w:rPr>
        <w:t>1,</w:t>
      </w:r>
      <w:r w:rsidR="009B58FD" w:rsidRPr="00943BE6">
        <w:rPr>
          <w:rFonts w:ascii="Palatino Linotype" w:hAnsi="Palatino Linotype"/>
          <w:b/>
          <w:bCs/>
          <w:vertAlign w:val="superscript"/>
        </w:rPr>
        <w:t xml:space="preserve"> </w:t>
      </w:r>
      <w:r w:rsidR="005D26A9" w:rsidRPr="00943BE6">
        <w:rPr>
          <w:rFonts w:ascii="Palatino Linotype" w:hAnsi="Palatino Linotype"/>
          <w:b/>
          <w:bCs/>
          <w:vertAlign w:val="superscript"/>
        </w:rPr>
        <w:t>2</w:t>
      </w:r>
      <w:r w:rsidRPr="00943BE6">
        <w:rPr>
          <w:rFonts w:ascii="Palatino Linotype" w:hAnsi="Palatino Linotype"/>
          <w:b/>
          <w:bCs/>
        </w:rPr>
        <w:t>, Thanh Manh Le</w:t>
      </w:r>
      <w:r w:rsidR="005D26A9" w:rsidRPr="00943BE6">
        <w:rPr>
          <w:rFonts w:ascii="Palatino Linotype" w:hAnsi="Palatino Linotype"/>
          <w:b/>
          <w:bCs/>
          <w:vertAlign w:val="superscript"/>
        </w:rPr>
        <w:t>2</w:t>
      </w:r>
      <w:r w:rsidRPr="00943BE6">
        <w:rPr>
          <w:rFonts w:ascii="Palatino Linotype" w:hAnsi="Palatino Linotype"/>
          <w:b/>
          <w:bCs/>
        </w:rPr>
        <w:t>, Cuong H. Nguyen-Dinh</w:t>
      </w:r>
      <w:r w:rsidR="005D26A9" w:rsidRPr="00943BE6">
        <w:rPr>
          <w:rFonts w:ascii="Palatino Linotype" w:hAnsi="Palatino Linotype"/>
          <w:b/>
          <w:bCs/>
          <w:vertAlign w:val="superscript"/>
        </w:rPr>
        <w:t>3</w:t>
      </w:r>
      <w:r w:rsidRPr="00943BE6">
        <w:rPr>
          <w:rFonts w:ascii="Palatino Linotype" w:hAnsi="Palatino Linotype"/>
          <w:b/>
          <w:bCs/>
        </w:rPr>
        <w:t xml:space="preserve">, </w:t>
      </w:r>
      <w:r w:rsidR="005D26A9" w:rsidRPr="00943BE6">
        <w:rPr>
          <w:rFonts w:ascii="Palatino Linotype" w:hAnsi="Palatino Linotype"/>
          <w:b/>
          <w:bCs/>
        </w:rPr>
        <w:t>Hai-Phuong Thi Duong</w:t>
      </w:r>
      <w:r w:rsidR="005D26A9" w:rsidRPr="00943BE6">
        <w:rPr>
          <w:rFonts w:ascii="Palatino Linotype" w:hAnsi="Palatino Linotype"/>
          <w:b/>
          <w:bCs/>
          <w:vertAlign w:val="superscript"/>
        </w:rPr>
        <w:t>1</w:t>
      </w:r>
      <w:r w:rsidR="00AC403B" w:rsidRPr="00943BE6">
        <w:rPr>
          <w:rFonts w:ascii="Palatino Linotype" w:hAnsi="Palatino Linotype"/>
          <w:b/>
          <w:bCs/>
          <w:vertAlign w:val="superscript"/>
        </w:rPr>
        <w:t>,</w:t>
      </w:r>
      <w:r w:rsidR="00AC403B" w:rsidRPr="00943BE6">
        <w:rPr>
          <w:rStyle w:val="FootnoteReference"/>
          <w:rFonts w:ascii="Palatino Linotype" w:hAnsi="Palatino Linotype"/>
          <w:b/>
          <w:bCs/>
        </w:rPr>
        <w:t xml:space="preserve"> </w:t>
      </w:r>
      <w:r w:rsidR="00AC403B" w:rsidRPr="00943BE6">
        <w:rPr>
          <w:rStyle w:val="FootnoteReference"/>
          <w:rFonts w:ascii="Palatino Linotype" w:hAnsi="Palatino Linotype"/>
          <w:b/>
          <w:bCs/>
        </w:rPr>
        <w:footnoteReference w:id="1"/>
      </w:r>
    </w:p>
    <w:p w14:paraId="0A7CC783" w14:textId="068E2368" w:rsidR="009B58FD" w:rsidRPr="00943BE6" w:rsidRDefault="009B58FD" w:rsidP="005D26A9">
      <w:pPr>
        <w:spacing w:line="360" w:lineRule="auto"/>
        <w:jc w:val="center"/>
        <w:rPr>
          <w:rFonts w:ascii="Palatino Linotype" w:eastAsia="Calibri" w:hAnsi="Palatino Linotype"/>
          <w:iCs/>
          <w:sz w:val="18"/>
          <w:szCs w:val="18"/>
          <w:vertAlign w:val="superscript"/>
        </w:rPr>
      </w:pPr>
      <w:r w:rsidRPr="00943BE6">
        <w:rPr>
          <w:rFonts w:ascii="Palatino Linotype" w:eastAsia="Calibri" w:hAnsi="Palatino Linotype"/>
          <w:iCs/>
          <w:sz w:val="18"/>
          <w:szCs w:val="18"/>
          <w:vertAlign w:val="superscript"/>
        </w:rPr>
        <w:t>1</w:t>
      </w:r>
      <w:r w:rsidRPr="00943BE6">
        <w:rPr>
          <w:rFonts w:ascii="Palatino Linotype" w:eastAsia="Calibri" w:hAnsi="Palatino Linotype"/>
          <w:iCs/>
          <w:sz w:val="18"/>
          <w:szCs w:val="18"/>
        </w:rPr>
        <w:t>University of Economics, Hue University, Viet Nam</w:t>
      </w:r>
      <w:r w:rsidR="005939FF" w:rsidRPr="00943BE6">
        <w:rPr>
          <w:rFonts w:ascii="Palatino Linotype" w:eastAsia="Calibri" w:hAnsi="Palatino Linotype"/>
          <w:iCs/>
          <w:sz w:val="18"/>
          <w:szCs w:val="18"/>
        </w:rPr>
        <w:t>.</w:t>
      </w:r>
    </w:p>
    <w:p w14:paraId="29FC9A1C" w14:textId="379C69A8" w:rsidR="005D26A9" w:rsidRPr="00943BE6" w:rsidRDefault="005D26A9" w:rsidP="005D26A9">
      <w:pPr>
        <w:spacing w:line="360" w:lineRule="auto"/>
        <w:jc w:val="center"/>
        <w:rPr>
          <w:rFonts w:ascii="Palatino Linotype" w:eastAsia="Calibri" w:hAnsi="Palatino Linotype"/>
          <w:iCs/>
          <w:sz w:val="18"/>
          <w:szCs w:val="18"/>
        </w:rPr>
      </w:pPr>
      <w:r w:rsidRPr="00943BE6">
        <w:rPr>
          <w:rFonts w:ascii="Palatino Linotype" w:eastAsia="Calibri" w:hAnsi="Palatino Linotype"/>
          <w:iCs/>
          <w:sz w:val="18"/>
          <w:szCs w:val="18"/>
          <w:vertAlign w:val="superscript"/>
        </w:rPr>
        <w:t>2</w:t>
      </w:r>
      <w:r w:rsidRPr="00943BE6">
        <w:rPr>
          <w:rFonts w:ascii="Palatino Linotype" w:eastAsia="Calibri" w:hAnsi="Palatino Linotype"/>
          <w:iCs/>
          <w:sz w:val="18"/>
          <w:szCs w:val="18"/>
        </w:rPr>
        <w:t>University of Sciences, Hue University, Viet Nam</w:t>
      </w:r>
      <w:r w:rsidR="005939FF" w:rsidRPr="00943BE6">
        <w:rPr>
          <w:rFonts w:ascii="Palatino Linotype" w:eastAsia="Calibri" w:hAnsi="Palatino Linotype"/>
          <w:iCs/>
          <w:sz w:val="18"/>
          <w:szCs w:val="18"/>
        </w:rPr>
        <w:t>.</w:t>
      </w:r>
    </w:p>
    <w:p w14:paraId="2CB61ACD" w14:textId="359539FB" w:rsidR="009D6511" w:rsidRPr="00943BE6" w:rsidRDefault="009B58FD" w:rsidP="009B58FD">
      <w:pPr>
        <w:spacing w:line="360" w:lineRule="auto"/>
        <w:jc w:val="center"/>
        <w:rPr>
          <w:rFonts w:ascii="Palatino Linotype" w:eastAsia="Calibri" w:hAnsi="Palatino Linotype"/>
          <w:iCs/>
          <w:sz w:val="18"/>
          <w:szCs w:val="18"/>
        </w:rPr>
      </w:pPr>
      <w:r w:rsidRPr="00943BE6">
        <w:rPr>
          <w:rFonts w:ascii="Palatino Linotype" w:eastAsia="Calibri" w:hAnsi="Palatino Linotype"/>
          <w:iCs/>
          <w:sz w:val="18"/>
          <w:szCs w:val="18"/>
          <w:vertAlign w:val="superscript"/>
        </w:rPr>
        <w:t>3</w:t>
      </w:r>
      <w:r w:rsidR="00AB2ABD" w:rsidRPr="00943BE6">
        <w:t xml:space="preserve"> </w:t>
      </w:r>
      <w:r w:rsidR="00AB2ABD" w:rsidRPr="00943BE6">
        <w:rPr>
          <w:rFonts w:ascii="Palatino Linotype" w:eastAsia="Calibri" w:hAnsi="Palatino Linotype"/>
          <w:iCs/>
          <w:sz w:val="18"/>
          <w:szCs w:val="18"/>
        </w:rPr>
        <w:t>University of Finance – Marketing, Viet Nam</w:t>
      </w:r>
    </w:p>
    <w:p w14:paraId="5EF2D8B2" w14:textId="294C13D3" w:rsidR="00DA130A" w:rsidRPr="00943BE6" w:rsidRDefault="00DA130A" w:rsidP="00397C0A">
      <w:pPr>
        <w:pStyle w:val="abstract"/>
        <w:spacing w:before="120" w:after="120" w:line="360" w:lineRule="auto"/>
        <w:ind w:right="716" w:firstLine="0"/>
        <w:rPr>
          <w:rFonts w:ascii="Palatino Linotype" w:hAnsi="Palatino Linotype"/>
          <w:szCs w:val="18"/>
        </w:rPr>
      </w:pPr>
      <w:r w:rsidRPr="00943BE6">
        <w:rPr>
          <w:rFonts w:ascii="Palatino Linotype" w:hAnsi="Palatino Linotype"/>
          <w:b/>
          <w:bCs/>
          <w:szCs w:val="18"/>
        </w:rPr>
        <w:t xml:space="preserve">Abstract. </w:t>
      </w:r>
      <w:r w:rsidR="000C3E66" w:rsidRPr="00943BE6">
        <w:rPr>
          <w:rFonts w:ascii="Palatino Linotype" w:hAnsi="Palatino Linotype"/>
          <w:szCs w:val="18"/>
        </w:rPr>
        <w:t xml:space="preserve">This study proposed a GRU-based framework for </w:t>
      </w:r>
      <w:r w:rsidR="003116D8" w:rsidRPr="00943BE6">
        <w:rPr>
          <w:rFonts w:ascii="Palatino Linotype" w:hAnsi="Palatino Linotype"/>
          <w:szCs w:val="18"/>
        </w:rPr>
        <w:t>short-term multi-horizon Bitcoin forecasting</w:t>
      </w:r>
      <w:r w:rsidR="000C3E66" w:rsidRPr="00943BE6">
        <w:rPr>
          <w:rFonts w:ascii="Palatino Linotype" w:hAnsi="Palatino Linotype"/>
          <w:szCs w:val="18"/>
        </w:rPr>
        <w:t xml:space="preserve"> and validated its effectiveness through a systematic comparison with four state-of-the-art baseline architectures: </w:t>
      </w:r>
      <w:r w:rsidR="00A12795" w:rsidRPr="00943BE6">
        <w:rPr>
          <w:rFonts w:ascii="Palatino Linotype" w:hAnsi="Palatino Linotype"/>
          <w:szCs w:val="18"/>
        </w:rPr>
        <w:t>Long Short-Term Memory (LSTM), Bidirectional LSTM (Bi-LSTM), one-dimensional Convolutional Neural Networks (1D-CNN), and Transformer networks</w:t>
      </w:r>
      <w:r w:rsidR="002702B4" w:rsidRPr="00943BE6">
        <w:rPr>
          <w:rFonts w:ascii="Palatino Linotype" w:hAnsi="Palatino Linotype"/>
          <w:szCs w:val="18"/>
        </w:rPr>
        <w:t xml:space="preserve"> over multiple time horizons. </w:t>
      </w:r>
      <w:r w:rsidR="00397784" w:rsidRPr="00943BE6">
        <w:rPr>
          <w:rFonts w:ascii="Palatino Linotype" w:hAnsi="Palatino Linotype"/>
          <w:szCs w:val="18"/>
        </w:rPr>
        <w:t>Based on daily Bitcoin price data spanning from September 17, 2014</w:t>
      </w:r>
      <w:r w:rsidR="0043409F" w:rsidRPr="00943BE6">
        <w:rPr>
          <w:rFonts w:ascii="Palatino Linotype" w:hAnsi="Palatino Linotype"/>
          <w:szCs w:val="18"/>
        </w:rPr>
        <w:t>,</w:t>
      </w:r>
      <w:r w:rsidR="00397784" w:rsidRPr="00943BE6">
        <w:rPr>
          <w:rFonts w:ascii="Palatino Linotype" w:hAnsi="Palatino Linotype"/>
          <w:szCs w:val="18"/>
        </w:rPr>
        <w:t xml:space="preserve"> to June 11, 2025, the models were systematically evaluated under three forecasting horizons—3-day, 5-day, and 7-day—using various input window sizes. Model performance was quantitatively assessed through f</w:t>
      </w:r>
      <w:r w:rsidR="00325FE6" w:rsidRPr="00943BE6">
        <w:rPr>
          <w:rFonts w:ascii="Palatino Linotype" w:hAnsi="Palatino Linotype"/>
          <w:szCs w:val="18"/>
        </w:rPr>
        <w:t>ive</w:t>
      </w:r>
      <w:r w:rsidR="00397784" w:rsidRPr="00943BE6">
        <w:rPr>
          <w:rFonts w:ascii="Palatino Linotype" w:hAnsi="Palatino Linotype"/>
          <w:szCs w:val="18"/>
        </w:rPr>
        <w:t xml:space="preserve"> standard metrics: Mean Squared Error (MSE), Root Mean Squared Error (RMSE), Mean Absolute Error (MAE),</w:t>
      </w:r>
      <w:r w:rsidR="00325FE6" w:rsidRPr="00943BE6">
        <w:rPr>
          <w:rFonts w:ascii="Palatino Linotype" w:hAnsi="Palatino Linotype"/>
          <w:szCs w:val="18"/>
        </w:rPr>
        <w:t xml:space="preserve"> </w:t>
      </w:r>
      <w:r w:rsidR="00B42895" w:rsidRPr="00943BE6">
        <w:rPr>
          <w:rFonts w:ascii="Palatino Linotype" w:hAnsi="Palatino Linotype"/>
          <w:szCs w:val="18"/>
        </w:rPr>
        <w:t xml:space="preserve">Mean Absolute Percentage Error </w:t>
      </w:r>
      <w:r w:rsidR="00325FE6" w:rsidRPr="00943BE6">
        <w:rPr>
          <w:rFonts w:ascii="Palatino Linotype" w:hAnsi="Palatino Linotype"/>
          <w:szCs w:val="18"/>
        </w:rPr>
        <w:t>(MAPE)</w:t>
      </w:r>
      <w:r w:rsidR="00397784" w:rsidRPr="00943BE6">
        <w:rPr>
          <w:rFonts w:ascii="Palatino Linotype" w:hAnsi="Palatino Linotype"/>
          <w:szCs w:val="18"/>
        </w:rPr>
        <w:t xml:space="preserve"> and the Coefficient of Determination (R²). Experimental results demonstrate that the GRU model consistently outperforms the other architectures in terms of predictive accuracy, temporal stability, and computational efficiency across all tested configurations.</w:t>
      </w:r>
      <w:r w:rsidR="000A2463" w:rsidRPr="00943BE6">
        <w:rPr>
          <w:rFonts w:ascii="Palatino Linotype" w:hAnsi="Palatino Linotype"/>
          <w:szCs w:val="18"/>
        </w:rPr>
        <w:t xml:space="preserve"> </w:t>
      </w:r>
      <w:r w:rsidR="002702B4" w:rsidRPr="00943BE6">
        <w:rPr>
          <w:rFonts w:ascii="Palatino Linotype" w:hAnsi="Palatino Linotype"/>
          <w:szCs w:val="18"/>
        </w:rPr>
        <w:t>Notably, this study provides one of the first comprehensive benchmarks of these deep learning models under consistent experimental settings, offering practical guidance for selecting forecasting architectures in highly volatile cryptocurrency markets.</w:t>
      </w:r>
    </w:p>
    <w:p w14:paraId="25700B3E" w14:textId="78028F1A" w:rsidR="00DA130A" w:rsidRPr="00943BE6" w:rsidRDefault="00DA130A" w:rsidP="00397C0A">
      <w:pPr>
        <w:pStyle w:val="abstract"/>
        <w:spacing w:before="120" w:after="120" w:line="360" w:lineRule="auto"/>
        <w:ind w:right="716" w:firstLine="0"/>
        <w:rPr>
          <w:rFonts w:ascii="Palatino Linotype" w:hAnsi="Palatino Linotype"/>
          <w:szCs w:val="18"/>
        </w:rPr>
      </w:pPr>
      <w:r w:rsidRPr="00943BE6">
        <w:rPr>
          <w:rFonts w:ascii="Palatino Linotype" w:hAnsi="Palatino Linotype"/>
          <w:b/>
          <w:bCs/>
          <w:szCs w:val="18"/>
        </w:rPr>
        <w:t>Keywords:</w:t>
      </w:r>
      <w:r w:rsidRPr="00943BE6">
        <w:rPr>
          <w:rFonts w:ascii="Palatino Linotype" w:hAnsi="Palatino Linotype"/>
          <w:szCs w:val="18"/>
        </w:rPr>
        <w:t xml:space="preserve"> Bitcoin forecasting</w:t>
      </w:r>
      <w:r w:rsidR="00453E3E" w:rsidRPr="00943BE6">
        <w:rPr>
          <w:rFonts w:ascii="Palatino Linotype" w:hAnsi="Palatino Linotype"/>
          <w:szCs w:val="18"/>
        </w:rPr>
        <w:t xml:space="preserve">, </w:t>
      </w:r>
      <w:r w:rsidR="00186C06" w:rsidRPr="00943BE6">
        <w:rPr>
          <w:rFonts w:ascii="Palatino Linotype" w:hAnsi="Palatino Linotype"/>
          <w:szCs w:val="18"/>
        </w:rPr>
        <w:t>Deep learning</w:t>
      </w:r>
      <w:r w:rsidR="00453E3E" w:rsidRPr="00943BE6">
        <w:rPr>
          <w:rFonts w:ascii="Palatino Linotype" w:hAnsi="Palatino Linotype"/>
          <w:szCs w:val="18"/>
        </w:rPr>
        <w:t xml:space="preserve">, </w:t>
      </w:r>
      <w:r w:rsidR="00186C06" w:rsidRPr="00943BE6">
        <w:rPr>
          <w:rFonts w:ascii="Palatino Linotype" w:hAnsi="Palatino Linotype"/>
          <w:szCs w:val="18"/>
        </w:rPr>
        <w:t>Time series prediction</w:t>
      </w:r>
      <w:r w:rsidR="00453E3E" w:rsidRPr="00943BE6">
        <w:rPr>
          <w:rFonts w:ascii="Palatino Linotype" w:hAnsi="Palatino Linotype"/>
          <w:szCs w:val="18"/>
        </w:rPr>
        <w:t>,</w:t>
      </w:r>
      <w:r w:rsidR="00186C06" w:rsidRPr="00943BE6">
        <w:rPr>
          <w:rFonts w:ascii="Palatino Linotype" w:hAnsi="Palatino Linotype"/>
          <w:szCs w:val="18"/>
        </w:rPr>
        <w:t xml:space="preserve"> Cryptocurrency price</w:t>
      </w:r>
      <w:r w:rsidR="00453E3E" w:rsidRPr="00943BE6">
        <w:rPr>
          <w:rFonts w:ascii="Palatino Linotype" w:hAnsi="Palatino Linotype"/>
          <w:szCs w:val="18"/>
        </w:rPr>
        <w:t>,</w:t>
      </w:r>
      <w:r w:rsidR="00186C06" w:rsidRPr="00943BE6">
        <w:rPr>
          <w:rFonts w:ascii="Palatino Linotype" w:hAnsi="Palatino Linotype"/>
          <w:szCs w:val="18"/>
        </w:rPr>
        <w:t xml:space="preserve"> GRU networks</w:t>
      </w:r>
      <w:r w:rsidR="00F55F0B" w:rsidRPr="00943BE6">
        <w:rPr>
          <w:rFonts w:ascii="Palatino Linotype" w:hAnsi="Palatino Linotype"/>
          <w:szCs w:val="18"/>
        </w:rPr>
        <w:t>.</w:t>
      </w:r>
    </w:p>
    <w:p w14:paraId="566C168C" w14:textId="77777777" w:rsidR="00DA130A" w:rsidRPr="00943BE6" w:rsidRDefault="00DA130A" w:rsidP="000561DB">
      <w:pPr>
        <w:pStyle w:val="heading1"/>
        <w:tabs>
          <w:tab w:val="left" w:pos="567"/>
        </w:tabs>
        <w:spacing w:before="120" w:after="120" w:line="360" w:lineRule="auto"/>
        <w:ind w:left="0" w:firstLine="0"/>
        <w:rPr>
          <w:rFonts w:ascii="Palatino Linotype" w:hAnsi="Palatino Linotype"/>
          <w:szCs w:val="24"/>
        </w:rPr>
      </w:pPr>
      <w:r w:rsidRPr="00943BE6">
        <w:rPr>
          <w:rFonts w:ascii="Palatino Linotype" w:hAnsi="Palatino Linotype"/>
          <w:szCs w:val="24"/>
        </w:rPr>
        <w:t>Introduction</w:t>
      </w:r>
    </w:p>
    <w:p w14:paraId="6711776F" w14:textId="7018B8D5" w:rsidR="004F763D" w:rsidRPr="00943BE6" w:rsidRDefault="00FE5D8A" w:rsidP="001C7C89">
      <w:pPr>
        <w:spacing w:before="120" w:after="120" w:line="360" w:lineRule="auto"/>
        <w:ind w:firstLine="0"/>
        <w:rPr>
          <w:rFonts w:ascii="Palatino Linotype" w:hAnsi="Palatino Linotype"/>
        </w:rPr>
      </w:pPr>
      <w:r w:rsidRPr="00943BE6">
        <w:rPr>
          <w:rFonts w:ascii="Palatino Linotype" w:hAnsi="Palatino Linotype"/>
        </w:rPr>
        <w:t xml:space="preserve">The precise prediction of closing prices </w:t>
      </w:r>
      <w:r w:rsidR="003A4EA6" w:rsidRPr="00943BE6">
        <w:rPr>
          <w:rFonts w:ascii="Palatino Linotype" w:hAnsi="Palatino Linotype"/>
        </w:rPr>
        <w:t>for a crypto-historical series, such as Bitcoin, is an important challenge in finance, economics,</w:t>
      </w:r>
      <w:r w:rsidRPr="00943BE6">
        <w:rPr>
          <w:rFonts w:ascii="Palatino Linotype" w:hAnsi="Palatino Linotype"/>
        </w:rPr>
        <w:t xml:space="preserve"> and data science </w:t>
      </w:r>
      <w:r w:rsidR="00A12BF3"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{"citationID":"6ouzJqmT","properties":{"formattedCitation":"[1], [2]","plainCitation":"[1], [2]","noteIndex":0},"citationItems":[{"id":"6m13q9SM/wayhHKUP","uris":["http://zotero.org/users/16775479/items/ZRZPIYR8"],"itemData":{"id":343,"type":"article-journal","abstract":"AbstractThis study examines the predictability of three major cryptocurrencies—bitcoin, ethereum, and litecoin—and the profitability of trading strategies devised upon machine learning techniques (e.g., linear models, random forests, and support vector machines). The models are validated in a period characterized by unprecedented turmoil and tested in a period of bear markets, allowing the assessment of whether the predictions are good even when the market direction changes between the validation and test periods. The classification and regression methods use attributes from trading and network activity for the period from August 15, 2015 to March 03, 2019, with the test sample beginning on April 13, 2018. For the test period, five out of 18 individual models have success rates of less than 50%. The trading strategies are built on model assembling. The ensemble assuming that five models produce identical signals (Ensemble 5) achieves the best performance for ethereum and litecoin, with annualized Sharpe ratios of 80.17% and 91.35% and annualized returns (after proportional round-trip trading costs of 0.5%) of 9.62% and 5.73%, respectively. These positive results support the claim that machine learning provides robust techniques for exploring the predictability of cryptocurrencies and for devising profitable trading strategies in these markets, even under adverse market conditions.","container-title":"Financial Innovation","DOI":"10.1186/s40854-020-00217-x","ISSN":"2199-4730","issue":"1","journalAbbreviation":"Financ Innov","language":"en","license":"https://creativecommons.org/licenses/by/4.0","note":"publisher: Springer Science and Business Media LLC","source":"Crossref","title":"Forecasting and trading cryptocurrencies with machine learning under changing market conditions","URL":"https://jfin-swufe.springeropen.com/articles/10.1186/s40854-020-00217-x","volume":"7","author":[{"family":"Sebastião","given":"Helder"},{"family":"Godinho","given":"Pedro"}],"accessed":{"date-parts":[["2025",7,24]]},"issued":{"date-parts":[["2021",1,6]]}}},{"id":"6m13q9SM/oeSlx0ux","uris":["http://zotero.org/users/16775479/items/FMNMVQSJ"],"itemData":{"id":345,"type":"article-journal","container-title":"Economics letters","note":"publisher: Elsevier","page":"28–34","source":"Google Scholar","title":"Exploring the dynamic relationships between cryptocurrencies and other financial assets","volume":"165","author":[{"family":"Corbet","given":"Shaen"},{"family":"Meegan","given":"Andrew"},{"family":"Larkin","given":"Charles"},{"family":"Lucey","given":"Brian"},{"family":"Yarovaya","given":"Larisa"}],"issued":{"date-parts":[["2018"]]}}}],"schema":"https://github.com/citation-style-language/schema/raw/master/csl-citation.json"} </w:instrText>
      </w:r>
      <w:r w:rsidR="00A12BF3" w:rsidRPr="00943BE6">
        <w:rPr>
          <w:rFonts w:ascii="Palatino Linotype" w:hAnsi="Palatino Linotype"/>
        </w:rPr>
        <w:fldChar w:fldCharType="separate"/>
      </w:r>
      <w:r w:rsidR="003453BD" w:rsidRPr="00943BE6">
        <w:rPr>
          <w:rFonts w:ascii="Palatino Linotype" w:hAnsi="Palatino Linotype"/>
        </w:rPr>
        <w:t>[1], [2]</w:t>
      </w:r>
      <w:r w:rsidR="00A12BF3" w:rsidRPr="00943BE6">
        <w:rPr>
          <w:rFonts w:ascii="Palatino Linotype" w:hAnsi="Palatino Linotype"/>
        </w:rPr>
        <w:fldChar w:fldCharType="end"/>
      </w:r>
      <w:r w:rsidR="004F763D" w:rsidRPr="00943BE6">
        <w:rPr>
          <w:rFonts w:ascii="Palatino Linotype" w:hAnsi="Palatino Linotype"/>
        </w:rPr>
        <w:t>.</w:t>
      </w:r>
      <w:r w:rsidR="00ED76D4" w:rsidRPr="00943BE6">
        <w:t xml:space="preserve"> </w:t>
      </w:r>
      <w:r w:rsidR="00ED76D4" w:rsidRPr="00943BE6">
        <w:rPr>
          <w:rFonts w:ascii="Palatino Linotype" w:hAnsi="Palatino Linotype"/>
        </w:rPr>
        <w:t>Cryptocurrencies show high volatility, nonlinearity</w:t>
      </w:r>
      <w:r w:rsidR="003A4EA6" w:rsidRPr="00943BE6">
        <w:rPr>
          <w:rFonts w:ascii="Palatino Linotype" w:hAnsi="Palatino Linotype"/>
        </w:rPr>
        <w:t>,</w:t>
      </w:r>
      <w:r w:rsidR="00ED76D4" w:rsidRPr="00943BE6">
        <w:rPr>
          <w:rFonts w:ascii="Palatino Linotype" w:hAnsi="Palatino Linotype"/>
        </w:rPr>
        <w:t xml:space="preserve"> and sensitivity to different market influences, which makes them a challenge for legacy forecasting methods </w:t>
      </w:r>
      <w:r w:rsidR="009D6861"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{"citationID":"mOHSimwb","properties":{"formattedCitation":"[3], [4]","plainCitation":"[3], [4]","noteIndex":0},"citationItems":[{"id":"6m13q9SM/7Xk4GuAE","uris":["http://zotero.org/users/16775479/items/VIQJ53K2"],"itemData":{"id":361,"type":"article-journal","abstract":"Bitcoin is an innovative decentralized digital currency without intermediaries. Bitcoin price prediction is a demanding need in the present situation. This paper makes an investigation on the Bitcoin price forecast with a Bi-directional Gated Recurrent Unit (GRU) time series method, combined with opinion mining based on Twitter and Reddit feeds. An hourly basis sentimental analysis through the implementation of Natural Language Processing presents a positive impact of sentimental analysis on the Bitcoin price prediction. For prediction, RNN, long-short memory, GRU has been utilized. Unidirectional and Bi-directional versions of all three networks with and without sentimental analysis were implemented for comparison. Of all the techniques implemented Bi-directional GRU along with sentimental analysis gives a minimum RMSE and Minimum absolute percentage error of 1108.33 and 7.384%. Thus, the framework including Bi-Directional GRU along with Sentimental Analysis provides better results than the State-of-art methods.","container-title":"Journal of Intelligent &amp; Fuzzy Systems","DOI":"10.3233/jifs-211217","ISSN":"1064-1246, 1875-8967","issue":"3","journalAbbreviation":"IFS","note":"publisher: SAGE Publications","page":"1825-1833","source":"Crossref","title":"Forecasting Bitcoin price using time opinion mining and bi-directional GRU","volume":"42","author":[{"family":"Akbar","given":"Sumaiya Begum"},{"family":"Thanupillai","given":"Kalaiselvi"},{"family":"Govindarajan","given":"Valarmathi"}],"issued":{"date-parts":[["2022",2,2]]}}},{"id":"6m13q9SM/3o5LFjXU","uris":["http://zotero.org/users/16775479/items/MF5REEVU"],"itemData":{"id":362,"type":"article-journal","container-title":"Economics letters","note":"publisher: Elsevier","page":"3–6","source":"Google Scholar","title":"Volatility estimation for Bitcoin: A comparison of GARCH models","title-short":"Volatility estimation for Bitcoin","volume":"158","author":[{"family":"Katsiampa","given":"Paraskevi"}],"issued":{"date-parts":[["2017"]]}}}],"schema":"https://github.com/citation-style-language/schema/raw/master/csl-citation.json"} </w:instrText>
      </w:r>
      <w:r w:rsidR="009D6861" w:rsidRPr="00943BE6">
        <w:rPr>
          <w:rFonts w:ascii="Palatino Linotype" w:hAnsi="Palatino Linotype"/>
        </w:rPr>
        <w:fldChar w:fldCharType="separate"/>
      </w:r>
      <w:r w:rsidR="003453BD" w:rsidRPr="00943BE6">
        <w:rPr>
          <w:rFonts w:ascii="Palatino Linotype" w:hAnsi="Palatino Linotype"/>
        </w:rPr>
        <w:t>[3], [4]</w:t>
      </w:r>
      <w:r w:rsidR="009D6861" w:rsidRPr="00943BE6">
        <w:rPr>
          <w:rFonts w:ascii="Palatino Linotype" w:hAnsi="Palatino Linotype"/>
        </w:rPr>
        <w:fldChar w:fldCharType="end"/>
      </w:r>
      <w:r w:rsidR="004F763D" w:rsidRPr="00943BE6">
        <w:rPr>
          <w:rFonts w:ascii="Palatino Linotype" w:hAnsi="Palatino Linotype"/>
        </w:rPr>
        <w:t>.</w:t>
      </w:r>
      <w:r w:rsidR="00394B20" w:rsidRPr="00943BE6">
        <w:t xml:space="preserve"> </w:t>
      </w:r>
      <w:r w:rsidR="00394B20" w:rsidRPr="00943BE6">
        <w:rPr>
          <w:rFonts w:ascii="Palatino Linotype" w:hAnsi="Palatino Linotype"/>
        </w:rPr>
        <w:t>To this end, recent work has focused on deep learning methods, such as LSTM, Bi-LSTM</w:t>
      </w:r>
      <w:r w:rsidR="003A4EA6" w:rsidRPr="00943BE6">
        <w:rPr>
          <w:rFonts w:ascii="Palatino Linotype" w:hAnsi="Palatino Linotype"/>
        </w:rPr>
        <w:t>,</w:t>
      </w:r>
      <w:r w:rsidR="00394B20" w:rsidRPr="00943BE6">
        <w:rPr>
          <w:rFonts w:ascii="Palatino Linotype" w:hAnsi="Palatino Linotype"/>
        </w:rPr>
        <w:t xml:space="preserve"> GRU, 1D-CNN</w:t>
      </w:r>
      <w:r w:rsidR="003A4EA6" w:rsidRPr="00943BE6">
        <w:rPr>
          <w:rFonts w:ascii="Palatino Linotype" w:hAnsi="Palatino Linotype"/>
        </w:rPr>
        <w:t>,</w:t>
      </w:r>
      <w:r w:rsidR="00394B20" w:rsidRPr="00943BE6">
        <w:rPr>
          <w:rFonts w:ascii="Palatino Linotype" w:hAnsi="Palatino Linotype"/>
        </w:rPr>
        <w:t xml:space="preserve"> and Transformer models, to study these problems and enhance predictive accuracy</w:t>
      </w:r>
      <w:r w:rsidR="004F763D" w:rsidRPr="00943BE6">
        <w:rPr>
          <w:rFonts w:ascii="Palatino Linotype" w:hAnsi="Palatino Linotype"/>
        </w:rPr>
        <w:t xml:space="preserve"> </w:t>
      </w:r>
      <w:r w:rsidR="00A12BF3"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{"citationID":"S92RwvE6","properties":{"formattedCitation":"[5], [6], [7]","plainCitation":"[5], [6], [7]","noteIndex":0},"citationItems":[{"id":"6m13q9SM/Ts0M0c0C","uris":["http://zotero.org/users/local/amki6lP9/items/9FDNPVPQ"],"itemData":{"id":"7370YG6R/jdNXacpL","type":"article","abstract":"Machine and deep learning-based algorithms are the emerging approaches in addressing prediction problems in time series. These techniques have been shown to produce more accurate results than conventional regression-based modeling. It has been reported that artificial Recurrent Neural Networks (RNN) with memory, such as Long Short-Term Memory (LSTM), are superior compared to Autoregressive Integrated Moving Average (ARIMA) with a large margin. The LSTM-based models incorporate additional \"gates\" for the purpose of memorizing longer sequences of input data. The major question is that whether the gates incorporated in the LSTM architecture already offers a good prediction and whether additional training of data would be necessary to further improve the prediction. Bidirectional LSTMs (BiLSTMs) enable additional training by traversing the input data twice (i.e., 1) left-to-right, and 2) right-to-left). The research question of interest is then whether BiLSTM, with additional training capability, outperforms regular unidirectional LSTM. This paper reports a behavioral analysis and comparison of BiLSTM and LSTM models. The objective is to explore to what extend additional layers of training of data would be beneficial to tune the involved parameters. The results show that additional training of data and thus BiLSTM-based modeling offers better predictions than regular LSTM-based models. More specifically, it was observed that BiLSTM models provide better predictions compared to ARIMA and LSTM models. It was also observed that BiLSTM models reach the equilibrium much slower than LSTM-based models.","DOI":"10.48550/arXiv.1911.09512","note":"arXiv:1911.09512 [cs]","number":"arXiv:1911.09512","publisher":"arXiv","source":"arXiv.org","title":"A Comparative Analysis of Forecasting Financial Time Series Using ARIMA, LSTM, and BiLSTM","URL":"http://arxiv.org/abs/1911.09512","author":[{"family":"Siami-Namini","given":"Sima"},{"family":"Tavakoli","given":"Neda"},{"family":"Namin","given":"Akbar Siami"}],"accessed":{"date-parts":[["2025",6,27]]},"issued":{"date-parts":[["2019",11,21]]}}},{"id":221,"uris":["http://zotero.org/users/local/DHziEHyZ/items/BIMA85FS"],"itemData":{"id":221,"type":"article-journal","abstract":"Contemporarily, cryptocurrency has a high market value, and the price of cryptocurrency fluctuates dramatically. This article analyzes the parameters effects of the LSTM model on Bitcoin price prediction accuracy based on Python and modules of Numpy, Pandas, Keras, Tensorflow, and Sklern. The analysis clarifies the relationship between the accuracy of Bitcoin price prediction and different parameters in the LSTM model. It is discovered that when larger batch sizes are supplied at minor epochs, the accuracy of Bitcoin price prediction declines. Meanwhile, the number of neurons affects the accuracy. In addition, compared to lengths of 14, 30, and 60, the prediction error grows greater when a single time sequence is 7 in length. Apart from that, at present, using closing prices from the past two years rather than the past 1 year, 3 years, or 5 years can make predictions more accurate. These findings shed light on recommendations for adjusting various parameters in the development of the LSTM model for Bitcoin price prediction.","container-title":"BCP Business &amp; Management","DOI":"10.54691/bcpbm.v38i.4183","journalAbbreviation":"BCP Business &amp; Management","page":"2738-2744","source":"ResearchGate","title":"Price Prediction of Bitcoin Using LSTM Neural Network","volume":"38","author":[{"family":"Lin","given":"Qilan"}],"issued":{"date-parts":[["2023",3,2]]}}},{"id":242,"uris":["http://zotero.org/users/local/DHziEHyZ/items/Y78HXMX6"],"itemData":{"id":242,"type":"article-journal","container-title":"Journal of applied finance and banking","issue":"4","note":"publisher: Scientific Press International Limited","page":"15","source":"Google Scholar","title":"Testing for long-memory and chaos in the returns of currency exchange-traded notes (ETNs)","volume":"7","author":[{"family":"Diaz","given":"John Francis"},{"family":"Chen","given":"Jo-Hui"}],"issued":{"date-parts":[["2017"]]}}}],"schema":"https://github.com/citation-style-language/schema/raw/master/csl-citation.json"} </w:instrText>
      </w:r>
      <w:r w:rsidR="00A12BF3" w:rsidRPr="00943BE6">
        <w:rPr>
          <w:rFonts w:ascii="Palatino Linotype" w:hAnsi="Palatino Linotype"/>
        </w:rPr>
        <w:fldChar w:fldCharType="separate"/>
      </w:r>
      <w:r w:rsidR="003453BD" w:rsidRPr="00943BE6">
        <w:rPr>
          <w:rFonts w:ascii="Palatino Linotype" w:hAnsi="Palatino Linotype"/>
        </w:rPr>
        <w:t>[5], [6], [7]</w:t>
      </w:r>
      <w:r w:rsidR="00A12BF3" w:rsidRPr="00943BE6">
        <w:rPr>
          <w:rFonts w:ascii="Palatino Linotype" w:hAnsi="Palatino Linotype"/>
        </w:rPr>
        <w:fldChar w:fldCharType="end"/>
      </w:r>
      <w:r w:rsidR="004F763D" w:rsidRPr="00943BE6">
        <w:rPr>
          <w:rFonts w:ascii="Palatino Linotype" w:hAnsi="Palatino Linotype"/>
        </w:rPr>
        <w:t>.</w:t>
      </w:r>
      <w:r w:rsidR="0036219A" w:rsidRPr="00943BE6">
        <w:t xml:space="preserve"> </w:t>
      </w:r>
      <w:r w:rsidR="0036219A" w:rsidRPr="00943BE6">
        <w:rPr>
          <w:rFonts w:ascii="Palatino Linotype" w:hAnsi="Palatino Linotype"/>
        </w:rPr>
        <w:t xml:space="preserve">Such methods are especially </w:t>
      </w:r>
      <w:r w:rsidR="003A4EA6" w:rsidRPr="00943BE6">
        <w:rPr>
          <w:rFonts w:ascii="Palatino Linotype" w:hAnsi="Palatino Linotype"/>
        </w:rPr>
        <w:t xml:space="preserve">suitable for capturing complicated temporal dependencies and chaotic patterns in cryptocurrency time series, and they represent a departure </w:t>
      </w:r>
      <w:r w:rsidR="0036219A" w:rsidRPr="00943BE6">
        <w:rPr>
          <w:rFonts w:ascii="Palatino Linotype" w:hAnsi="Palatino Linotype"/>
        </w:rPr>
        <w:t>from traditional econometric models to data-based, flexible forecasting techniques</w:t>
      </w:r>
      <w:r w:rsidR="004F763D" w:rsidRPr="00943BE6">
        <w:rPr>
          <w:rFonts w:ascii="Palatino Linotype" w:hAnsi="Palatino Linotype"/>
        </w:rPr>
        <w:t>. However, despite these advances, comparative studies systematically evaluating these architectures under consistent experimental settings across multiple forecasting horizons remain scarce</w:t>
      </w:r>
      <w:r w:rsidR="00BB161B" w:rsidRPr="00943BE6">
        <w:rPr>
          <w:rFonts w:ascii="Palatino Linotype" w:hAnsi="Palatino Linotype"/>
        </w:rPr>
        <w:t xml:space="preserve"> </w:t>
      </w:r>
      <w:r w:rsidR="00BB161B"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{"citationID":"6gJnOF7c","properties":{"formattedCitation":"[8], [9]","plainCitation":"[8], [9]","noteIndex":0},"citationItems":[{"id":"6m13q9SM/dsU5COSL","uris":["http://zotero.org/users/16775479/items/4X8E767F"],"itemData":{"id":367,"type":"article-journal","container-title":"Applied soft computing","note":"publisher: Elsevier","page":"106181","source":"Google Scholar","title":"Financial time series forecasting with deep learning: A systematic literature review: 2005–2019","title-short":"Financial time series forecasting with deep learning","volume":"90","author":[{"family":"Sezer","given":"Omer Berat"},{"family":"Gudelek","given":"Mehmet Ugur"},{"family":"Ozbayoglu","given":"Ahmet Murat"}],"issued":{"date-parts":[["2020"]]}}},{"id":"6m13q9SM/dcmD7g9E","uris":["http://zotero.org/users/16775479/items/5NEVNUC5"],"itemData":{"id":372,"type":"article-journal","container-title":"Inf. Dyn. Appl","issue":"1","page":"64–76","source":"Google Scholar","title":"Comparative analysis of machine learning algorithms for daily cryptocurrency price prediction","volume":"3","author":[{"family":"Samson","given":"Timothy Kayode"}],"issued":{"date-parts":[["2024"]]}}}],"schema":"https://github.com/citation-style-language/schema/raw/master/csl-citation.json"} </w:instrText>
      </w:r>
      <w:r w:rsidR="00BB161B" w:rsidRPr="00943BE6">
        <w:rPr>
          <w:rFonts w:ascii="Palatino Linotype" w:hAnsi="Palatino Linotype"/>
        </w:rPr>
        <w:fldChar w:fldCharType="separate"/>
      </w:r>
      <w:r w:rsidR="003453BD" w:rsidRPr="00943BE6">
        <w:rPr>
          <w:rFonts w:ascii="Palatino Linotype" w:hAnsi="Palatino Linotype"/>
        </w:rPr>
        <w:t>[8], [9]</w:t>
      </w:r>
      <w:r w:rsidR="00BB161B" w:rsidRPr="00943BE6">
        <w:rPr>
          <w:rFonts w:ascii="Palatino Linotype" w:hAnsi="Palatino Linotype"/>
        </w:rPr>
        <w:fldChar w:fldCharType="end"/>
      </w:r>
      <w:r w:rsidR="004F763D" w:rsidRPr="00943BE6">
        <w:rPr>
          <w:rFonts w:ascii="Palatino Linotype" w:hAnsi="Palatino Linotype"/>
        </w:rPr>
        <w:t xml:space="preserve">. </w:t>
      </w:r>
      <w:r w:rsidR="00680794" w:rsidRPr="00943BE6">
        <w:rPr>
          <w:rFonts w:ascii="Palatino Linotype" w:hAnsi="Palatino Linotype"/>
        </w:rPr>
        <w:t xml:space="preserve">This is the gap that this study </w:t>
      </w:r>
      <w:r w:rsidR="003A4EA6" w:rsidRPr="00943BE6">
        <w:rPr>
          <w:rFonts w:ascii="Palatino Linotype" w:hAnsi="Palatino Linotype"/>
        </w:rPr>
        <w:t>fills</w:t>
      </w:r>
      <w:r w:rsidR="00680794" w:rsidRPr="00943BE6">
        <w:rPr>
          <w:rFonts w:ascii="Palatino Linotype" w:hAnsi="Palatino Linotype"/>
        </w:rPr>
        <w:t>.</w:t>
      </w:r>
    </w:p>
    <w:p w14:paraId="716924EB" w14:textId="67D9752C" w:rsidR="004F763D" w:rsidRPr="00943BE6" w:rsidRDefault="00BD06BA" w:rsidP="008F2D24">
      <w:pPr>
        <w:spacing w:before="120" w:after="120" w:line="360" w:lineRule="auto"/>
        <w:ind w:firstLine="567"/>
        <w:rPr>
          <w:rFonts w:ascii="Palatino Linotype" w:hAnsi="Palatino Linotype"/>
        </w:rPr>
      </w:pPr>
      <w:r w:rsidRPr="00943BE6">
        <w:rPr>
          <w:rFonts w:ascii="Palatino Linotype" w:hAnsi="Palatino Linotype"/>
        </w:rPr>
        <w:lastRenderedPageBreak/>
        <w:t>Among the various deep learning architectures, the GRU has emerged as a particularly promising model for cryptocurrency price forecasting</w:t>
      </w:r>
      <w:r w:rsidR="00AB7B85" w:rsidRPr="00943BE6">
        <w:rPr>
          <w:rFonts w:ascii="Palatino Linotype" w:hAnsi="Palatino Linotype"/>
        </w:rPr>
        <w:t xml:space="preserve"> </w:t>
      </w:r>
      <w:r w:rsidR="00AB7B85"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{"citationID":"OWfYqik4","properties":{"formattedCitation":"[3], [10]","plainCitation":"[3], [10]","noteIndex":0},"citationItems":[{"id":"6m13q9SM/7Xk4GuAE","uris":["http://zotero.org/users/16775479/items/VIQJ53K2"],"itemData":{"id":361,"type":"article-journal","abstract":"Bitcoin is an innovative decentralized digital currency without intermediaries. Bitcoin price prediction is a demanding need in the present situation. This paper makes an investigation on the Bitcoin price forecast with a Bi-directional Gated Recurrent Unit (GRU) time series method, combined with opinion mining based on Twitter and Reddit feeds. An hourly basis sentimental analysis through the implementation of Natural Language Processing presents a positive impact of sentimental analysis on the Bitcoin price prediction. For prediction, RNN, long-short memory, GRU has been utilized. Unidirectional and Bi-directional versions of all three networks with and without sentimental analysis were implemented for comparison. Of all the techniques implemented Bi-directional GRU along with sentimental analysis gives a minimum RMSE and Minimum absolute percentage error of 1108.33 and 7.384%. Thus, the framework including Bi-Directional GRU along with Sentimental Analysis provides better results than the State-of-art methods.","container-title":"Journal of Intelligent &amp; Fuzzy Systems","DOI":"10.3233/jifs-211217","ISSN":"1064-1246, 1875-8967","issue":"3","journalAbbreviation":"IFS","note":"publisher: SAGE Publications","page":"1825-1833","source":"Crossref","title":"Forecasting Bitcoin price using time opinion mining and bi-directional GRU","volume":"42","author":[{"family":"Akbar","given":"Sumaiya Begum"},{"family":"Thanupillai","given":"Kalaiselvi"},{"family":"Govindarajan","given":"Valarmathi"}],"issued":{"date-parts":[["2022",2,2]]}}},{"id":"6m13q9SM/IsyYbx04","uris":["http://zotero.org/users/16775479/items/46E3MR3S"],"itemData":{"id":348,"type":"article-journal","container-title":"Journal of risk and financial management","issue":"2","note":"publisher: MDPI","page":"23","source":"Google Scholar","title":"A gated recurrent unit approach to bitcoin price prediction","volume":"13","author":[{"family":"Dutta","given":"Aniruddha"},{"family":"Kumar","given":"Saket"},{"family":"Basu","given":"Meheli"}],"issued":{"date-parts":[["2020"]]}}}],"schema":"https://github.com/citation-style-language/schema/raw/master/csl-citation.json"} </w:instrText>
      </w:r>
      <w:r w:rsidR="00AB7B85" w:rsidRPr="00943BE6">
        <w:rPr>
          <w:rFonts w:ascii="Palatino Linotype" w:hAnsi="Palatino Linotype"/>
        </w:rPr>
        <w:fldChar w:fldCharType="separate"/>
      </w:r>
      <w:r w:rsidR="003453BD" w:rsidRPr="00943BE6">
        <w:rPr>
          <w:rFonts w:ascii="Palatino Linotype" w:hAnsi="Palatino Linotype"/>
        </w:rPr>
        <w:t>[3], [10]</w:t>
      </w:r>
      <w:r w:rsidR="00AB7B85" w:rsidRPr="00943BE6">
        <w:rPr>
          <w:rFonts w:ascii="Palatino Linotype" w:hAnsi="Palatino Linotype"/>
        </w:rPr>
        <w:fldChar w:fldCharType="end"/>
      </w:r>
      <w:r w:rsidR="004F763D" w:rsidRPr="00943BE6">
        <w:rPr>
          <w:rFonts w:ascii="Palatino Linotype" w:hAnsi="Palatino Linotype"/>
        </w:rPr>
        <w:t xml:space="preserve">. Bitcoin’s extreme volatility, decentralized structure, and increasing global adoption demand </w:t>
      </w:r>
      <w:r w:rsidR="00A3788B" w:rsidRPr="00943BE6">
        <w:rPr>
          <w:rFonts w:ascii="Palatino Linotype" w:hAnsi="Palatino Linotype"/>
        </w:rPr>
        <w:t xml:space="preserve">require </w:t>
      </w:r>
      <w:r w:rsidR="004F763D" w:rsidRPr="00943BE6">
        <w:rPr>
          <w:rFonts w:ascii="Palatino Linotype" w:hAnsi="Palatino Linotype"/>
        </w:rPr>
        <w:t>forecasting techniques that can efficiently handle complex temporal patterns and adapt to rapid market changes</w:t>
      </w:r>
      <w:r w:rsidR="00AB7B85" w:rsidRPr="00943BE6">
        <w:rPr>
          <w:rFonts w:ascii="Palatino Linotype" w:hAnsi="Palatino Linotype"/>
        </w:rPr>
        <w:t xml:space="preserve"> </w:t>
      </w:r>
      <w:r w:rsidR="00AB7B85"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{"citationID":"jhwRLDIs","properties":{"formattedCitation":"[1], [4]","plainCitation":"[1], [4]","noteIndex":0},"citationItems":[{"id":"6m13q9SM/wayhHKUP","uris":["http://zotero.org/users/16775479/items/ZRZPIYR8"],"itemData":{"id":343,"type":"article-journal","abstract":"AbstractThis study examines the predictability of three major cryptocurrencies—bitcoin, ethereum, and litecoin—and the profitability of trading strategies devised upon machine learning techniques (e.g., linear models, random forests, and support vector machines). The models are validated in a period characterized by unprecedented turmoil and tested in a period of bear markets, allowing the assessment of whether the predictions are good even when the market direction changes between the validation and test periods. The classification and regression methods use attributes from trading and network activity for the period from August 15, 2015 to March 03, 2019, with the test sample beginning on April 13, 2018. For the test period, five out of 18 individual models have success rates of less than 50%. The trading strategies are built on model assembling. The ensemble assuming that five models produce identical signals (Ensemble 5) achieves the best performance for ethereum and litecoin, with annualized Sharpe ratios of 80.17% and 91.35% and annualized returns (after proportional round-trip trading costs of 0.5%) of 9.62% and 5.73%, respectively. These positive results support the claim that machine learning provides robust techniques for exploring the predictability of cryptocurrencies and for devising profitable trading strategies in these markets, even under adverse market conditions.","container-title":"Financial Innovation","DOI":"10.1186/s40854-020-00217-x","ISSN":"2199-4730","issue":"1","journalAbbreviation":"Financ Innov","language":"en","license":"https://creativecommons.org/licenses/by/4.0","note":"publisher: Springer Science and Business Media LLC","source":"Crossref","title":"Forecasting and trading cryptocurrencies with machine learning under changing market conditions","URL":"https://jfin-swufe.springeropen.com/articles/10.1186/s40854-020-00217-x","volume":"7","author":[{"family":"Sebastião","given":"Helder"},{"family":"Godinho","given":"Pedro"}],"accessed":{"date-parts":[["2025",7,24]]},"issued":{"date-parts":[["2021",1,6]]}}},{"id":"6m13q9SM/3o5LFjXU","uris":["http://zotero.org/users/16775479/items/MF5REEVU"],"itemData":{"id":362,"type":"article-journal","container-title":"Economics letters","note":"publisher: Elsevier","page":"3–6","source":"Google Scholar","title":"Volatility estimation for Bitcoin: A comparison of GARCH models","title-short":"Volatility estimation for Bitcoin","volume":"158","author":[{"family":"Katsiampa","given":"Paraskevi"}],"issued":{"date-parts":[["2017"]]}}}],"schema":"https://github.com/citation-style-language/schema/raw/master/csl-citation.json"} </w:instrText>
      </w:r>
      <w:r w:rsidR="00AB7B85" w:rsidRPr="00943BE6">
        <w:rPr>
          <w:rFonts w:ascii="Palatino Linotype" w:hAnsi="Palatino Linotype"/>
        </w:rPr>
        <w:fldChar w:fldCharType="separate"/>
      </w:r>
      <w:r w:rsidR="003453BD" w:rsidRPr="00943BE6">
        <w:rPr>
          <w:rFonts w:ascii="Palatino Linotype" w:hAnsi="Palatino Linotype"/>
        </w:rPr>
        <w:t>[1], [4]</w:t>
      </w:r>
      <w:r w:rsidR="00AB7B85" w:rsidRPr="00943BE6">
        <w:rPr>
          <w:rFonts w:ascii="Palatino Linotype" w:hAnsi="Palatino Linotype"/>
        </w:rPr>
        <w:fldChar w:fldCharType="end"/>
      </w:r>
      <w:r w:rsidR="004F763D" w:rsidRPr="00943BE6">
        <w:rPr>
          <w:rFonts w:ascii="Palatino Linotype" w:hAnsi="Palatino Linotype"/>
        </w:rPr>
        <w:t>.</w:t>
      </w:r>
      <w:r w:rsidR="0005371F" w:rsidRPr="00943BE6">
        <w:t xml:space="preserve"> </w:t>
      </w:r>
      <w:r w:rsidR="0005371F" w:rsidRPr="00943BE6">
        <w:rPr>
          <w:rFonts w:ascii="Palatino Linotype" w:hAnsi="Palatino Linotype"/>
        </w:rPr>
        <w:t>Many of the above nonlinear, chaotic behaviors are difficult to capture using traditional statistical models such as ARIMA and GARCH</w:t>
      </w:r>
      <w:r w:rsidR="004F763D" w:rsidRPr="00943BE6">
        <w:rPr>
          <w:rFonts w:ascii="Palatino Linotype" w:hAnsi="Palatino Linotype"/>
        </w:rPr>
        <w:t xml:space="preserve"> </w:t>
      </w:r>
      <w:r w:rsidR="00B74028"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{"citationID":"DTxOziCr","properties":{"formattedCitation":"[7]","plainCitation":"[7]","noteIndex":0},"citationItems":[{"id":242,"uris":["http://zotero.org/users/local/DHziEHyZ/items/Y78HXMX6"],"itemData":{"id":242,"type":"article-journal","container-title":"Journal of applied finance and banking","issue":"4","note":"publisher: Scientific Press International Limited","page":"15","source":"Google Scholar","title":"Testing for long-memory and chaos in the returns of currency exchange-traded notes (ETNs)","volume":"7","author":[{"family":"Diaz","given":"John Francis"},{"family":"Chen","given":"Jo-Hui"}],"issued":{"date-parts":[["2017"]]}}}],"schema":"https://github.com/citation-style-language/schema/raw/master/csl-citation.json"} </w:instrText>
      </w:r>
      <w:r w:rsidR="00B74028" w:rsidRPr="00943BE6">
        <w:rPr>
          <w:rFonts w:ascii="Palatino Linotype" w:hAnsi="Palatino Linotype"/>
        </w:rPr>
        <w:fldChar w:fldCharType="separate"/>
      </w:r>
      <w:r w:rsidR="003453BD" w:rsidRPr="00943BE6">
        <w:rPr>
          <w:rFonts w:ascii="Palatino Linotype" w:hAnsi="Palatino Linotype"/>
        </w:rPr>
        <w:t>[7]</w:t>
      </w:r>
      <w:r w:rsidR="00B74028" w:rsidRPr="00943BE6">
        <w:rPr>
          <w:rFonts w:ascii="Palatino Linotype" w:hAnsi="Palatino Linotype"/>
        </w:rPr>
        <w:fldChar w:fldCharType="end"/>
      </w:r>
      <w:r w:rsidR="004F763D" w:rsidRPr="00943BE6">
        <w:rPr>
          <w:rFonts w:ascii="Palatino Linotype" w:hAnsi="Palatino Linotype"/>
        </w:rPr>
        <w:t>.</w:t>
      </w:r>
      <w:r w:rsidR="004704E8" w:rsidRPr="00943BE6">
        <w:rPr>
          <w:rFonts w:ascii="Palatino Linotype" w:hAnsi="Palatino Linotype"/>
        </w:rPr>
        <w:t xml:space="preserve"> For these reasons, GRU presents a more advantageous opportunity, characterized by a compact architecture, quicker convergence, and robust predictive accuracy, compared to other deep learning models, including LSTM, Bi-LSTM, 1D-CNN, and Transformer </w:t>
      </w:r>
      <w:r w:rsidR="00570FF7" w:rsidRPr="00943BE6">
        <w:rPr>
          <w:rFonts w:ascii="Palatino Linotype" w:hAnsi="Palatino Linotype"/>
        </w:rPr>
        <w:t>networks</w:t>
      </w:r>
      <w:r w:rsidR="004F763D" w:rsidRPr="00943BE6">
        <w:rPr>
          <w:rFonts w:ascii="Palatino Linotype" w:hAnsi="Palatino Linotype"/>
        </w:rPr>
        <w:t>. These advantages make GRU especially suitable for modeling cryptocurrency prices in highly volatile environments.</w:t>
      </w:r>
    </w:p>
    <w:p w14:paraId="1F74F719" w14:textId="5346793C" w:rsidR="00720ACC" w:rsidRPr="00943BE6" w:rsidRDefault="00B32BBE" w:rsidP="001C7C89">
      <w:pPr>
        <w:spacing w:before="120" w:after="120" w:line="360" w:lineRule="auto"/>
        <w:ind w:firstLine="720"/>
        <w:rPr>
          <w:rFonts w:ascii="Palatino Linotype" w:hAnsi="Palatino Linotype"/>
        </w:rPr>
      </w:pPr>
      <w:r w:rsidRPr="00943BE6">
        <w:rPr>
          <w:rFonts w:ascii="Palatino Linotype" w:hAnsi="Palatino Linotype"/>
        </w:rPr>
        <w:t xml:space="preserve">This study offers three main contributions. First, it establishes a solid benchmark for five of the leading deep learning architectures – including LSTM, GRU, Bi-LSTM, Transformer, 1D-CNN, among others – through a systematic evaluation of their respective performance against multiple forecasting horizons and various sliding window types. Secondly, it provides novel insights into the impact of different input-output window lengths on forecasting, therefore enabling the development of targeted time-series prediction frameworks. Finally, it arrives at the empirical finding that GRU consistently presents the </w:t>
      </w:r>
      <w:r w:rsidR="00570FF7" w:rsidRPr="00943BE6">
        <w:rPr>
          <w:rFonts w:ascii="Palatino Linotype" w:hAnsi="Palatino Linotype"/>
        </w:rPr>
        <w:t>highest</w:t>
      </w:r>
      <w:r w:rsidRPr="00943BE6">
        <w:rPr>
          <w:rFonts w:ascii="Palatino Linotype" w:hAnsi="Palatino Linotype"/>
        </w:rPr>
        <w:t xml:space="preserve"> accuracy, stability, and computational efficiency in the prediction of price </w:t>
      </w:r>
      <w:r w:rsidR="00570FF7" w:rsidRPr="00943BE6">
        <w:rPr>
          <w:rFonts w:ascii="Palatino Linotype" w:hAnsi="Palatino Linotype"/>
        </w:rPr>
        <w:t>dynamics</w:t>
      </w:r>
      <w:r w:rsidRPr="00943BE6">
        <w:rPr>
          <w:rFonts w:ascii="Palatino Linotype" w:hAnsi="Palatino Linotype"/>
        </w:rPr>
        <w:t xml:space="preserve"> within a volatile market in all considered cases.</w:t>
      </w:r>
    </w:p>
    <w:p w14:paraId="342DB10E" w14:textId="33E9ABE7" w:rsidR="00A9563C" w:rsidRPr="00943BE6" w:rsidRDefault="00A9563C" w:rsidP="001C7C89">
      <w:pPr>
        <w:spacing w:before="120" w:after="120" w:line="360" w:lineRule="auto"/>
        <w:ind w:firstLine="567"/>
        <w:rPr>
          <w:rFonts w:ascii="Palatino Linotype" w:hAnsi="Palatino Linotype"/>
        </w:rPr>
      </w:pPr>
      <w:r w:rsidRPr="00943BE6">
        <w:rPr>
          <w:rFonts w:ascii="Palatino Linotype" w:hAnsi="Palatino Linotype"/>
        </w:rPr>
        <w:t>The remainder of this paper is organized as follows. Section 2 reviews related works on cryptocurrency price forecasting using deep learning models. Section 3 describes the sliding window technique employed in this study and details the architectures of the deep learning models evaluated. Section 4 presents and discusses the experimental results across multiple sliding window configurations. Finally, Section 5 concludes the paper and highlights directions for future research.</w:t>
      </w:r>
    </w:p>
    <w:p w14:paraId="3FC0452F" w14:textId="2FDFB49A" w:rsidR="00DA130A" w:rsidRPr="00943BE6" w:rsidRDefault="0039075C" w:rsidP="004F5017">
      <w:pPr>
        <w:pStyle w:val="heading1"/>
        <w:tabs>
          <w:tab w:val="left" w:pos="567"/>
        </w:tabs>
        <w:spacing w:before="120" w:after="120" w:line="360" w:lineRule="auto"/>
        <w:ind w:left="0" w:firstLine="0"/>
        <w:rPr>
          <w:rFonts w:ascii="Palatino Linotype" w:hAnsi="Palatino Linotype"/>
          <w:szCs w:val="24"/>
        </w:rPr>
      </w:pPr>
      <w:r w:rsidRPr="00943BE6">
        <w:rPr>
          <w:rFonts w:ascii="Palatino Linotype" w:hAnsi="Palatino Linotype"/>
          <w:szCs w:val="24"/>
        </w:rPr>
        <w:t>Related works</w:t>
      </w:r>
    </w:p>
    <w:p w14:paraId="472A3F40" w14:textId="5E33FBDF" w:rsidR="000C5E83" w:rsidRPr="00943BE6" w:rsidRDefault="008F12C6" w:rsidP="001C7C89">
      <w:pPr>
        <w:spacing w:before="120" w:after="120" w:line="360" w:lineRule="auto"/>
        <w:ind w:firstLine="0"/>
        <w:rPr>
          <w:rFonts w:ascii="Palatino Linotype" w:hAnsi="Palatino Linotype"/>
        </w:rPr>
      </w:pPr>
      <w:r w:rsidRPr="00943BE6">
        <w:rPr>
          <w:rFonts w:ascii="Palatino Linotype" w:hAnsi="Palatino Linotype"/>
        </w:rPr>
        <w:t>Accurately forecasting cryptocurrency prices remains a major challenge, largely due to the market’s high volatility and complex, non-linear behavior. Traditional econometric models such as ARIMA, which rely on assumptions of linearity and stationarity, often struggle to capture these intricate patterns, resulting in limited predictive effectiveness in such dynamic environments</w:t>
      </w:r>
      <w:r w:rsidR="00B835AE" w:rsidRPr="00943BE6">
        <w:rPr>
          <w:rFonts w:ascii="Palatino Linotype" w:hAnsi="Palatino Linotype"/>
        </w:rPr>
        <w:t>. In response, deep learning architectures have become powerful alternatives, as their structure is inherently suited to modeling complex, non-linear relationships in sequential data. Studies such as Siami-Namini et al.</w:t>
      </w:r>
      <w:r w:rsidR="00B74028" w:rsidRPr="00943BE6">
        <w:rPr>
          <w:rFonts w:ascii="Palatino Linotype" w:hAnsi="Palatino Linotype"/>
        </w:rPr>
        <w:t xml:space="preserve"> </w:t>
      </w:r>
      <w:r w:rsidR="00B74028"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Wb4NHYi7","properties":{"formattedCitation":"[5]","plainCitation":"[5]","noteIndex":0},"citationItems":[{"id":"6m13q9SM/Ts0M0c0C","uris":["http://zotero.org/users/local/amki6lP9/items/9FDNPVPQ"],"itemData":{"id":"7370YG6R/jdNXacpL","type":"article","abstract":"Machine and deep learning-based algorithms are the emerging approaches in addressing prediction problems in time series. These techniques have been shown to produce more accurate results than conventional regression-based modeling. It has been reported that artificial Recurrent Neural Networks (RNN) with memory, such as Long Short-Term Memory (LSTM), are superior compared to Autoregressive Integrated Moving Average (ARIMA) with a large margin. The LSTM-based models incorporate additional \"gates\" for the purpose of memorizing longer sequences of input data. The major question is that whether the gates incorporated in the LSTM architecture already offers a good prediction and whether additional training of data would be necessary to further improve the prediction. Bidirectional LSTMs (BiLSTMs) enable additional training by traversing the input data twice (i.e., 1) left-to-right, and 2) right-to-left). The research question of interest is then whether BiLSTM, with additional training capability, outperforms regular unidirectional LSTM. This paper reports a behavioral analysis and comparison of BiLSTM and LSTM models. The objective is to explore to what extend additional layers of training of data would be beneficial to tune the involved parameters. The results show that additional training of data and thus BiLSTM-based modeling offers better predictions than regular LSTM-based models. More specifically, it was observed that BiLSTM models provide better predictions compared to ARIMA and LSTM models. It was also observed that BiLSTM models reach the equilibrium much slower than LSTM-based models.","DOI":"10.48550/arXiv.1911.09512","note":"arXiv:1911.09512 [cs]","number":"arXiv:1911.09512","publisher":"arXiv","source":"arXiv.org","title":"A Comparative Analysis of Forecasting Financial Time Series Using ARIMA, LSTM, and BiLSTM","URL":"http://arxiv.org/abs/1911.09512","author":[{"family":"Siami-Namini","given":"Sima"},{"family":"Tavakoli","given":"Neda"},{"family":"Namin","given":"Akbar Siami"}],"accessed":{"date-parts":[["2025",6,27]]},"issued":{"date-parts":[["2019",11,21]]}}}],"schema":"https://github.com/citation-style-language/schema/raw/master/csl-citation.json"} </w:instrText>
      </w:r>
      <w:r w:rsidR="00B74028" w:rsidRPr="00943BE6">
        <w:rPr>
          <w:rFonts w:ascii="Palatino Linotype" w:hAnsi="Palatino Linotype"/>
        </w:rPr>
        <w:fldChar w:fldCharType="separate"/>
      </w:r>
      <w:r w:rsidR="003453BD" w:rsidRPr="00943BE6">
        <w:rPr>
          <w:rFonts w:ascii="Palatino Linotype" w:hAnsi="Palatino Linotype"/>
        </w:rPr>
        <w:t>[5]</w:t>
      </w:r>
      <w:r w:rsidR="00B74028" w:rsidRPr="00943BE6">
        <w:rPr>
          <w:rFonts w:ascii="Palatino Linotype" w:hAnsi="Palatino Linotype"/>
        </w:rPr>
        <w:fldChar w:fldCharType="end"/>
      </w:r>
      <w:r w:rsidR="00B835AE" w:rsidRPr="00943BE6">
        <w:rPr>
          <w:rFonts w:ascii="Palatino Linotype" w:hAnsi="Palatino Linotype"/>
        </w:rPr>
        <w:t xml:space="preserve"> have empirically confirmed this, showing that both LSTM and Bi-LSTM models significantly outperform ARIMA by effectively capturing these underlying dynamics. This section analyzes the evolution of these advanced models to contextualize the contributions of this study.</w:t>
      </w:r>
      <w:r w:rsidR="000C5E83" w:rsidRPr="00943BE6">
        <w:rPr>
          <w:rFonts w:ascii="Palatino Linotype" w:hAnsi="Palatino Linotype"/>
        </w:rPr>
        <w:t xml:space="preserve"> </w:t>
      </w:r>
    </w:p>
    <w:p w14:paraId="07D4CD01" w14:textId="736E3B9F" w:rsidR="00053BC1" w:rsidRPr="00943BE6" w:rsidRDefault="004F5F28" w:rsidP="00A64B5E">
      <w:pPr>
        <w:spacing w:before="120" w:after="120" w:line="360" w:lineRule="auto"/>
        <w:ind w:firstLine="567"/>
        <w:rPr>
          <w:rFonts w:ascii="Palatino Linotype" w:hAnsi="Palatino Linotype"/>
        </w:rPr>
      </w:pPr>
      <w:r w:rsidRPr="00943BE6">
        <w:rPr>
          <w:rFonts w:ascii="Palatino Linotype" w:hAnsi="Palatino Linotype"/>
        </w:rPr>
        <w:t xml:space="preserve">To tackle the intricate temporal patterns found in financial time series, early deep learning efforts focused on RNNs. Although RNNs were specifically designed to handle sequential data, they often struggled in practice due to the vanishing gradient problem, which made it difficult for them to capture </w:t>
      </w:r>
      <w:r w:rsidRPr="00943BE6">
        <w:rPr>
          <w:rFonts w:ascii="Palatino Linotype" w:hAnsi="Palatino Linotype"/>
        </w:rPr>
        <w:lastRenderedPageBreak/>
        <w:t>long-term dependencies. A breakthrough came in 1997 when Hochreiter and Schmidhuber introduced the LSTM network</w:t>
      </w:r>
      <w:r w:rsidR="007C5BD0" w:rsidRPr="00943BE6">
        <w:rPr>
          <w:rFonts w:ascii="Palatino Linotype" w:hAnsi="Palatino Linotype"/>
        </w:rPr>
        <w:t xml:space="preserve"> </w:t>
      </w:r>
      <w:r w:rsidR="007C5BD0"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{"citationID":"M3MZ0f3a","properties":{"formattedCitation":"[11]","plainCitation":"[11]","noteIndex":0},"citationItems":[{"id":"6m13q9SM/68aY26kS","uris":["http://zotero.org/users/16775479/items/2K345ZB6"],"itemData":{"id":324,"type":"article-journal","container-title":"Neural computation","issue":"8","note":"publisher: MIT press","page":"1735–1780","source":"Google Scholar","title":"Long short-term memory","volume":"9","author":[{"family":"Hochreiter","given":"Sepp"},{"family":"Schmidhuber","given":"Jürgen"}],"issued":{"date-parts":[["1997"]]}}}],"schema":"https://github.com/citation-style-language/schema/raw/master/csl-citation.json"} </w:instrText>
      </w:r>
      <w:r w:rsidR="007C5BD0" w:rsidRPr="00943BE6">
        <w:rPr>
          <w:rFonts w:ascii="Palatino Linotype" w:hAnsi="Palatino Linotype"/>
        </w:rPr>
        <w:fldChar w:fldCharType="separate"/>
      </w:r>
      <w:r w:rsidR="003453BD" w:rsidRPr="00943BE6">
        <w:rPr>
          <w:rFonts w:ascii="Palatino Linotype" w:hAnsi="Palatino Linotype"/>
        </w:rPr>
        <w:t>[11]</w:t>
      </w:r>
      <w:r w:rsidR="007C5BD0" w:rsidRPr="00943BE6">
        <w:rPr>
          <w:rFonts w:ascii="Palatino Linotype" w:hAnsi="Palatino Linotype"/>
        </w:rPr>
        <w:fldChar w:fldCharType="end"/>
      </w:r>
      <w:r w:rsidRPr="00943BE6">
        <w:rPr>
          <w:rFonts w:ascii="Palatino Linotype" w:hAnsi="Palatino Linotype"/>
        </w:rPr>
        <w:t>. With its innovative gating mechanism that carefully controls the flow of information, LSTM effectively overcame this limitation and enabled models to retain and learn from long-range patterns</w:t>
      </w:r>
      <w:r w:rsidR="00ED2815" w:rsidRPr="00943BE6">
        <w:rPr>
          <w:rFonts w:ascii="Palatino Linotype" w:hAnsi="Palatino Linotype"/>
        </w:rPr>
        <w:t>.</w:t>
      </w:r>
      <w:r w:rsidR="00E411A0" w:rsidRPr="00943BE6">
        <w:rPr>
          <w:rFonts w:ascii="Palatino Linotype" w:hAnsi="Palatino Linotype"/>
        </w:rPr>
        <w:t xml:space="preserve"> </w:t>
      </w:r>
      <w:r w:rsidR="00ED2815" w:rsidRPr="00943BE6">
        <w:rPr>
          <w:rFonts w:ascii="Palatino Linotype" w:hAnsi="Palatino Linotype"/>
        </w:rPr>
        <w:t>Consequently, the LSTM network has established itself as a foundational benchmark in financial forecasting. Its efficacy is well-documented; for instance, Lin</w:t>
      </w:r>
      <w:r w:rsidR="00B74028" w:rsidRPr="00943BE6">
        <w:rPr>
          <w:rFonts w:ascii="Palatino Linotype" w:hAnsi="Palatino Linotype"/>
        </w:rPr>
        <w:t xml:space="preserve"> </w:t>
      </w:r>
      <w:r w:rsidR="00B74028"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{"citationID":"EJIZufCt","properties":{"formattedCitation":"[6]","plainCitation":"[6]","noteIndex":0},"citationItems":[{"id":221,"uris":["http://zotero.org/users/local/DHziEHyZ/items/BIMA85FS"],"itemData":{"id":221,"type":"article-journal","abstract":"Contemporarily, cryptocurrency has a high market value, and the price of cryptocurrency fluctuates dramatically. This article analyzes the parameters effects of the LSTM model on Bitcoin price prediction accuracy based on Python and modules of Numpy, Pandas, Keras, Tensorflow, and Sklern. The analysis clarifies the relationship between the accuracy of Bitcoin price prediction and different parameters in the LSTM model. It is discovered that when larger batch sizes are supplied at minor epochs, the accuracy of Bitcoin price prediction declines. Meanwhile, the number of neurons affects the accuracy. In addition, compared to lengths of 14, 30, and 60, the prediction error grows greater when a single time sequence is 7 in length. Apart from that, at present, using closing prices from the past two years rather than the past 1 year, 3 years, or 5 years can make predictions more accurate. These findings shed light on recommendations for adjusting various parameters in the development of the LSTM model for Bitcoin price prediction.","container-title":"BCP Business &amp; Management","DOI":"10.54691/bcpbm.v38i.4183","journalAbbreviation":"BCP Business &amp; Management","page":"2738-2744","source":"ResearchGate","title":"Price Prediction of Bitcoin Using LSTM Neural Network","volume":"38","author":[{"family":"Lin","given":"Qilan"}],"issued":{"date-parts":[["2023",3,2]]}}}],"schema":"https://github.com/citation-style-language/schema/raw/master/csl-citation.json"} </w:instrText>
      </w:r>
      <w:r w:rsidR="00B74028" w:rsidRPr="00943BE6">
        <w:rPr>
          <w:rFonts w:ascii="Palatino Linotype" w:hAnsi="Palatino Linotype"/>
        </w:rPr>
        <w:fldChar w:fldCharType="separate"/>
      </w:r>
      <w:r w:rsidR="003453BD" w:rsidRPr="00943BE6">
        <w:rPr>
          <w:rFonts w:ascii="Palatino Linotype" w:hAnsi="Palatino Linotype"/>
        </w:rPr>
        <w:t>[6]</w:t>
      </w:r>
      <w:r w:rsidR="00B74028" w:rsidRPr="00943BE6">
        <w:rPr>
          <w:rFonts w:ascii="Palatino Linotype" w:hAnsi="Palatino Linotype"/>
        </w:rPr>
        <w:fldChar w:fldCharType="end"/>
      </w:r>
      <w:r w:rsidR="00ED2815" w:rsidRPr="00943BE6">
        <w:rPr>
          <w:rFonts w:ascii="Palatino Linotype" w:hAnsi="Palatino Linotype"/>
        </w:rPr>
        <w:t xml:space="preserve"> demonstrated significant predictive power by applying an LSTM-based model to achieve high accuracy on daily Bitcoin prices. </w:t>
      </w:r>
    </w:p>
    <w:p w14:paraId="367928D2" w14:textId="77281071" w:rsidR="00E411A0" w:rsidRPr="00943BE6" w:rsidRDefault="003602D8" w:rsidP="0021073D">
      <w:pPr>
        <w:spacing w:before="120" w:after="120" w:line="360" w:lineRule="auto"/>
        <w:ind w:firstLine="567"/>
        <w:rPr>
          <w:rFonts w:ascii="Palatino Linotype" w:hAnsi="Palatino Linotype"/>
        </w:rPr>
      </w:pPr>
      <w:r w:rsidRPr="00943BE6">
        <w:rPr>
          <w:rFonts w:ascii="Palatino Linotype" w:hAnsi="Palatino Linotype"/>
        </w:rPr>
        <w:t>To enhance contextual representation, Bi-LSTM networks process input sequences in both forward and backward directions, thereby enabling the model to simultaneously incorporate information from preceding and succeeding time steps</w:t>
      </w:r>
      <w:r w:rsidR="00FC6C9E" w:rsidRPr="00943BE6">
        <w:rPr>
          <w:rFonts w:ascii="Palatino Linotype" w:hAnsi="Palatino Linotype"/>
        </w:rPr>
        <w:t xml:space="preserve">. </w:t>
      </w:r>
      <w:r w:rsidR="0021073D" w:rsidRPr="00943BE6">
        <w:rPr>
          <w:rFonts w:ascii="Palatino Linotype" w:hAnsi="Palatino Linotype"/>
        </w:rPr>
        <w:t xml:space="preserve">This bidirectional capability has proven particularly effective in financial forecasting. For instance, amidst the high demand and significant volatility of cryptocurrencies like Bitcoin, there is a pressing need for accurate prediction models to assist investors. Addressing this, Prabhnoor Singh et al. </w:t>
      </w:r>
      <w:r w:rsidR="003453BD"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{"citationID":"FJVzXQGp","properties":{"formattedCitation":"[12]","plainCitation":"[12]","noteIndex":0},"citationItems":[{"id":855,"uris":["http://zotero.org/users/local/DHziEHyZ/items/F9I76RL3"],"itemData":{"id":855,"type":"paper-conference","abstract":"Cryptocurrencies are a revolution in the domain of economics, currency, and trade, Bitcoin being the prime among them. With the ever increasing demand and limited number of bitcoins available, bitcoin as well as other cryptocurrencies has been a hot topic among economists, traders, inverters, and researchers. Although these coins based on blockchain are phenomenal, the volatile nature of the cryptocurrency markets has spurred significant interest in developing accurate prediction models to aid investors and market participants. This research paper examines the application of the Bidirectional Long Short-Term Memory model for predicting Bitcoin prices. This study uses historical Bitcoin price data and features such as opening prices, closing prices, and trading volumes to predict the target closing prices for Bitcoins. The study evaluates the performance of the Bi-LSTM model against comparative models, considering various relevant metrics. It was observed that Bi-LSTM performs significantly better among other regression models in capturing the inherent volatility and non-linearity of cryptocurrency markets. Our proposed model outperformed previous studies in various reported metrics. Additionally, we explored the impact of various hyperparameters and input features on the model’s performance to achieve an ideal state. Insights obtained by conducting this study would eventually contribute to an extensive understanding of the potential of deep learning techniques in forecasting cryptocurrency prices, offering valuable implications for investors and risk management strategies in the evolving landscape of digital assets.","container-title":"2024 3rd International Conference on Computational Modelling, Simulation and Optimization (ICCMSO)","DOI":"10.1109/ICCMSO61761.2024.00035","event-title":"2024 3rd International Conference on Computational Modelling, Simulation and Optimization (ICCMSO)","page":"114-119","source":"IEEE Xplore","title":"Predictive Analysis of Bitcoin Prices Using Bidirectional Long Short-Term Memory Networks","URL":"https://ieeexplore.ieee.org/document/10638354","author":[{"family":"Singh","given":"Prabhnoor"},{"family":"Goel","given":"Paurav"},{"family":"Bajaj","given":"Rohit"}],"accessed":{"date-parts":[["2026",1,8]]},"issued":{"date-parts":[["2024",6]]}}}],"schema":"https://github.com/citation-style-language/schema/raw/master/csl-citation.json"} </w:instrText>
      </w:r>
      <w:r w:rsidR="003453BD" w:rsidRPr="00943BE6">
        <w:rPr>
          <w:rFonts w:ascii="Palatino Linotype" w:hAnsi="Palatino Linotype"/>
        </w:rPr>
        <w:fldChar w:fldCharType="separate"/>
      </w:r>
      <w:r w:rsidR="003453BD" w:rsidRPr="00943BE6">
        <w:rPr>
          <w:rFonts w:ascii="Palatino Linotype" w:hAnsi="Palatino Linotype"/>
        </w:rPr>
        <w:t>[12]</w:t>
      </w:r>
      <w:r w:rsidR="003453BD" w:rsidRPr="00943BE6">
        <w:rPr>
          <w:rFonts w:ascii="Palatino Linotype" w:hAnsi="Palatino Linotype"/>
        </w:rPr>
        <w:fldChar w:fldCharType="end"/>
      </w:r>
      <w:r w:rsidR="003453BD" w:rsidRPr="00943BE6">
        <w:rPr>
          <w:rFonts w:ascii="Palatino Linotype" w:hAnsi="Palatino Linotype"/>
        </w:rPr>
        <w:t xml:space="preserve"> </w:t>
      </w:r>
      <w:r w:rsidR="0021073D" w:rsidRPr="00943BE6">
        <w:rPr>
          <w:rFonts w:ascii="Palatino Linotype" w:hAnsi="Palatino Linotype"/>
        </w:rPr>
        <w:t>evaluated a Bi-LSTM model using historical price data to forecast future closing prices, concluding that it substantially outperforms other regression models and previous studies. Similarly, a</w:t>
      </w:r>
      <w:r w:rsidR="00FC6C9E" w:rsidRPr="00943BE6">
        <w:rPr>
          <w:rFonts w:ascii="Palatino Linotype" w:hAnsi="Palatino Linotype"/>
        </w:rPr>
        <w:t xml:space="preserve"> comparative analysis of Bitcoin volatility forecasting showed that a multivariate Bi-LSTM model was more effective than classical econometric procedures</w:t>
      </w:r>
      <w:r w:rsidR="00E411A0" w:rsidRPr="00943BE6">
        <w:rPr>
          <w:rFonts w:ascii="Palatino Linotype" w:hAnsi="Palatino Linotype"/>
        </w:rPr>
        <w:t xml:space="preserve">. </w:t>
      </w:r>
      <w:r w:rsidR="0021073D" w:rsidRPr="00943BE6">
        <w:rPr>
          <w:rFonts w:ascii="Palatino Linotype" w:hAnsi="Palatino Linotype"/>
        </w:rPr>
        <w:t>The model's strength is not limited to finance; i</w:t>
      </w:r>
      <w:r w:rsidR="00E411A0" w:rsidRPr="00943BE6">
        <w:rPr>
          <w:rFonts w:ascii="Palatino Linotype" w:hAnsi="Palatino Linotype"/>
        </w:rPr>
        <w:t>n their work on sentiment analysis, Mahadevaswamy and Swathi</w:t>
      </w:r>
      <w:r w:rsidR="005B3332" w:rsidRPr="00943BE6">
        <w:rPr>
          <w:rFonts w:ascii="Palatino Linotype" w:hAnsi="Palatino Linotype"/>
        </w:rPr>
        <w:t xml:space="preserve"> </w:t>
      </w:r>
      <w:r w:rsidR="005B3332"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{"citationID":"crs5QHMa","properties":{"formattedCitation":"[13]","plainCitation":"[13]","noteIndex":0},"citationItems":[{"id":"6m13q9SM/n3I1LSpp","uris":["http://zotero.org/users/16775479/items/UUC2E6TB"],"itemData":{"id":347,"type":"article-journal","container-title":"Procedia Computer Science","note":"publisher: Elsevier","page":"45–56","source":"Google Scholar","title":"Sentiment analysis using bidirectional LSTM network","volume":"218","author":[{"family":"Mahadevaswamy","given":"U. B."},{"family":"Swathi","given":"P."}],"issued":{"date-parts":[["2023"]]}}}],"schema":"https://github.com/citation-style-language/schema/raw/master/csl-citation.json"} </w:instrText>
      </w:r>
      <w:r w:rsidR="005B3332" w:rsidRPr="00943BE6">
        <w:rPr>
          <w:rFonts w:ascii="Palatino Linotype" w:hAnsi="Palatino Linotype"/>
        </w:rPr>
        <w:fldChar w:fldCharType="separate"/>
      </w:r>
      <w:r w:rsidR="003453BD" w:rsidRPr="00943BE6">
        <w:rPr>
          <w:rFonts w:ascii="Palatino Linotype" w:hAnsi="Palatino Linotype"/>
        </w:rPr>
        <w:t>[13]</w:t>
      </w:r>
      <w:r w:rsidR="005B3332" w:rsidRPr="00943BE6">
        <w:rPr>
          <w:rFonts w:ascii="Palatino Linotype" w:hAnsi="Palatino Linotype"/>
        </w:rPr>
        <w:fldChar w:fldCharType="end"/>
      </w:r>
      <w:r w:rsidR="00E411A0" w:rsidRPr="00943BE6">
        <w:rPr>
          <w:rFonts w:ascii="Palatino Linotype" w:hAnsi="Palatino Linotype"/>
        </w:rPr>
        <w:t xml:space="preserve"> </w:t>
      </w:r>
      <w:r w:rsidR="0021073D" w:rsidRPr="00943BE6">
        <w:rPr>
          <w:rFonts w:ascii="Palatino Linotype" w:hAnsi="Palatino Linotype"/>
        </w:rPr>
        <w:t xml:space="preserve">also </w:t>
      </w:r>
      <w:r w:rsidR="00E411A0" w:rsidRPr="00943BE6">
        <w:rPr>
          <w:rFonts w:ascii="Palatino Linotype" w:hAnsi="Palatino Linotype"/>
        </w:rPr>
        <w:t>reported that a Bi-LSTM network yielded notable improvements over unidirectional models.</w:t>
      </w:r>
    </w:p>
    <w:p w14:paraId="5CFD5BB4" w14:textId="67598F96" w:rsidR="00884A82" w:rsidRPr="00943BE6" w:rsidRDefault="00E411A0" w:rsidP="00BE6EDE">
      <w:pPr>
        <w:spacing w:before="120" w:after="120" w:line="360" w:lineRule="auto"/>
        <w:ind w:firstLine="567"/>
        <w:rPr>
          <w:rFonts w:ascii="Palatino Linotype" w:hAnsi="Palatino Linotype"/>
        </w:rPr>
      </w:pPr>
      <w:r w:rsidRPr="00943BE6">
        <w:rPr>
          <w:rFonts w:ascii="Palatino Linotype" w:hAnsi="Palatino Linotype"/>
        </w:rPr>
        <w:t xml:space="preserve">Despite their effectiveness, LSTMs </w:t>
      </w:r>
      <w:r w:rsidR="00FC6C9E" w:rsidRPr="00943BE6">
        <w:rPr>
          <w:rFonts w:ascii="Palatino Linotype" w:hAnsi="Palatino Linotype"/>
        </w:rPr>
        <w:t>can introduce significant computational overhead</w:t>
      </w:r>
      <w:r w:rsidRPr="00943BE6">
        <w:rPr>
          <w:rFonts w:ascii="Palatino Linotype" w:hAnsi="Palatino Linotype"/>
        </w:rPr>
        <w:t xml:space="preserve">. The </w:t>
      </w:r>
      <w:r w:rsidR="00BE6EDE" w:rsidRPr="00943BE6">
        <w:rPr>
          <w:rFonts w:ascii="Palatino Linotype" w:hAnsi="Palatino Linotype"/>
        </w:rPr>
        <w:t>GRU</w:t>
      </w:r>
      <w:r w:rsidRPr="00943BE6">
        <w:rPr>
          <w:rFonts w:ascii="Palatino Linotype" w:hAnsi="Palatino Linotype"/>
        </w:rPr>
        <w:t xml:space="preserve">, a streamlined variant introduced by Cho et al. </w:t>
      </w:r>
      <w:r w:rsidR="00BE6EDE"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{"citationID":"rJnioNi5","properties":{"formattedCitation":"[14]","plainCitation":"[14]","noteIndex":0},"citationItems":[{"id":"6m13q9SM/XGa9citn","uris":["http://zotero.org/users/16775479/items/J9TU38AS"],"itemData":{"id":325,"type":"article","abstract":"In this paper, we propose a novel neural network model called RNN Encoder-Decoder that consists of two recurrent neural networks (RNN). One RNN encodes a sequence of symbols into a fixed-length vector representation, and the other decodes the representation into another sequence of symbols. The encoder and decoder of the proposed model are jointly trained to maximize the conditional probability of a target sequence given a source sequence. The performance of a statistical machine translation system is empirically found to improve by using the conditional probabilities of phrase pairs computed by the RNN Encoder-Decoder as an additional feature in the existing log-linear model. Qualitatively, we show that the proposed model learns a semantically and syntactically meaningful representation of linguistic phrases.","DOI":"10.48550/arXiv.1406.1078","note":"arXiv:1406.1078 [cs]","number":"arXiv:1406.1078","publisher":"arXiv","source":"arXiv.org","title":"Learning Phrase Representations using RNN Encoder-Decoder for Statistical Machine Translation","URL":"http://arxiv.org/abs/1406.1078","author":[{"family":"Cho","given":"Kyunghyun"},{"family":"Merrienboer","given":"Bart","dropping-particle":"van"},{"family":"Gulcehre","given":"Caglar"},{"family":"Bahdanau","given":"Dzmitry"},{"family":"Bougares","given":"Fethi"},{"family":"Schwenk","given":"Holger"},{"family":"Bengio","given":"Yoshua"}],"accessed":{"date-parts":[["2025",7,22]]},"issued":{"date-parts":[["2014",9,3]]}}}],"schema":"https://github.com/citation-style-language/schema/raw/master/csl-citation.json"} </w:instrText>
      </w:r>
      <w:r w:rsidR="00BE6EDE" w:rsidRPr="00943BE6">
        <w:rPr>
          <w:rFonts w:ascii="Palatino Linotype" w:hAnsi="Palatino Linotype"/>
        </w:rPr>
        <w:fldChar w:fldCharType="separate"/>
      </w:r>
      <w:r w:rsidR="003453BD" w:rsidRPr="00943BE6">
        <w:rPr>
          <w:rFonts w:ascii="Palatino Linotype" w:hAnsi="Palatino Linotype"/>
        </w:rPr>
        <w:t>[14]</w:t>
      </w:r>
      <w:r w:rsidR="00BE6EDE" w:rsidRPr="00943BE6">
        <w:rPr>
          <w:rFonts w:ascii="Palatino Linotype" w:hAnsi="Palatino Linotype"/>
        </w:rPr>
        <w:fldChar w:fldCharType="end"/>
      </w:r>
      <w:r w:rsidRPr="00943BE6">
        <w:rPr>
          <w:rFonts w:ascii="Palatino Linotype" w:hAnsi="Palatino Linotype"/>
        </w:rPr>
        <w:t xml:space="preserve">, offers a compelling alternative. </w:t>
      </w:r>
      <w:r w:rsidR="00FC6C9E" w:rsidRPr="00943BE6">
        <w:rPr>
          <w:rFonts w:ascii="Palatino Linotype" w:hAnsi="Palatino Linotype"/>
        </w:rPr>
        <w:t xml:space="preserve">By using a simpler gating mechanism, GRUs often achieve performance comparable to LSTMs but with greater computational efficiency, making them faster to train. </w:t>
      </w:r>
      <w:r w:rsidRPr="00943BE6">
        <w:rPr>
          <w:rFonts w:ascii="Palatino Linotype" w:hAnsi="Palatino Linotype"/>
        </w:rPr>
        <w:t xml:space="preserve">In their study, Dutta et al. </w:t>
      </w:r>
      <w:r w:rsidR="005B3332"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{"citationID":"aC3YxFFp","properties":{"formattedCitation":"[10]","plainCitation":"[10]","noteIndex":0},"citationItems":[{"id":"6m13q9SM/IsyYbx04","uris":["http://zotero.org/users/16775479/items/46E3MR3S"],"itemData":{"id":348,"type":"article-journal","container-title":"Journal of risk and financial management","issue":"2","note":"publisher: MDPI","page":"23","source":"Google Scholar","title":"A gated recurrent unit approach to bitcoin price prediction","volume":"13","author":[{"family":"Dutta","given":"Aniruddha"},{"family":"Kumar","given":"Saket"},{"family":"Basu","given":"Meheli"}],"issued":{"date-parts":[["2020"]]}}}],"schema":"https://github.com/citation-style-language/schema/raw/master/csl-citation.json"} </w:instrText>
      </w:r>
      <w:r w:rsidR="005B3332" w:rsidRPr="00943BE6">
        <w:rPr>
          <w:rFonts w:ascii="Palatino Linotype" w:hAnsi="Palatino Linotype"/>
        </w:rPr>
        <w:fldChar w:fldCharType="separate"/>
      </w:r>
      <w:r w:rsidR="003453BD" w:rsidRPr="00943BE6">
        <w:rPr>
          <w:rFonts w:ascii="Palatino Linotype" w:hAnsi="Palatino Linotype"/>
        </w:rPr>
        <w:t>[10]</w:t>
      </w:r>
      <w:r w:rsidR="005B3332" w:rsidRPr="00943BE6">
        <w:rPr>
          <w:rFonts w:ascii="Palatino Linotype" w:hAnsi="Palatino Linotype"/>
        </w:rPr>
        <w:fldChar w:fldCharType="end"/>
      </w:r>
      <w:r w:rsidRPr="00943BE6">
        <w:rPr>
          <w:rFonts w:ascii="Palatino Linotype" w:hAnsi="Palatino Linotype"/>
        </w:rPr>
        <w:t xml:space="preserve"> applied a GRU-based approach to Bitcoin prediction and concluded that it was both robust and computationally efficient. </w:t>
      </w:r>
      <w:r w:rsidR="00FC6C9E" w:rsidRPr="00943BE6">
        <w:rPr>
          <w:rFonts w:ascii="Palatino Linotype" w:hAnsi="Palatino Linotype"/>
        </w:rPr>
        <w:t xml:space="preserve">A comparative study by Bouteska et al. </w:t>
      </w:r>
      <w:r w:rsidR="00B74F27"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oPyCo6sM","properties":{"formattedCitation":"[15]","plainCitation":"[15]","noteIndex":0},"citationItems":[{"id":"6m13q9SM/u0XBqT7H","uris":["http://zotero.org/users/16775479/items/QQ4DRCWX"],"itemData":{"id":364,"type":"article-journal","container-title":"International Review of Financial Analysis","note":"publisher: Elsevier","page":"103055","source":"Google Scholar","title":"Cryptocurrency price forecasting–a comparative analysis of ensemble learning and deep learning methods","volume":"92","author":[{"family":"Bouteska","given":"Ahmed"},{"family":"Abedin","given":"Mohammad Zoynul"},{"family":"Hajek","given":"Petr"},{"family":"Yuan","given":"Kunpeng"}],"issued":{"date-parts":[["2024"]]}}}],"schema":"https://github.com/citation-style-language/schema/raw/master/csl-citation.json"} </w:instrText>
      </w:r>
      <w:r w:rsidR="00B74F27" w:rsidRPr="00943BE6">
        <w:rPr>
          <w:rFonts w:ascii="Palatino Linotype" w:hAnsi="Palatino Linotype"/>
        </w:rPr>
        <w:fldChar w:fldCharType="separate"/>
      </w:r>
      <w:r w:rsidR="003453BD" w:rsidRPr="00943BE6">
        <w:rPr>
          <w:rFonts w:ascii="Palatino Linotype" w:hAnsi="Palatino Linotype"/>
        </w:rPr>
        <w:t>[15]</w:t>
      </w:r>
      <w:r w:rsidR="00B74F27" w:rsidRPr="00943BE6">
        <w:rPr>
          <w:rFonts w:ascii="Palatino Linotype" w:hAnsi="Palatino Linotype"/>
        </w:rPr>
        <w:fldChar w:fldCharType="end"/>
      </w:r>
      <w:r w:rsidR="00B74F27" w:rsidRPr="00943BE6">
        <w:rPr>
          <w:rFonts w:ascii="Palatino Linotype" w:hAnsi="Palatino Linotype"/>
        </w:rPr>
        <w:t xml:space="preserve"> </w:t>
      </w:r>
      <w:r w:rsidR="00FC6C9E" w:rsidRPr="00943BE6">
        <w:rPr>
          <w:rFonts w:ascii="Palatino Linotype" w:hAnsi="Palatino Linotype"/>
        </w:rPr>
        <w:t xml:space="preserve">also found that GRU models outperformed other machine learning methods for forecasting various cryptocurrencies. </w:t>
      </w:r>
      <w:r w:rsidRPr="00943BE6">
        <w:rPr>
          <w:rFonts w:ascii="Palatino Linotype" w:hAnsi="Palatino Linotype"/>
        </w:rPr>
        <w:t>This efficiency makes GRU particularly attractive for applications in fast-paced cryptocurrency markets.</w:t>
      </w:r>
    </w:p>
    <w:p w14:paraId="3E15F785" w14:textId="7121CEB8" w:rsidR="00A46AA5" w:rsidRPr="00943BE6" w:rsidRDefault="00DF0D05" w:rsidP="0082190A">
      <w:pPr>
        <w:spacing w:before="120" w:after="120" w:line="360" w:lineRule="auto"/>
        <w:ind w:firstLine="567"/>
        <w:rPr>
          <w:rFonts w:ascii="Palatino Linotype" w:hAnsi="Palatino Linotype"/>
        </w:rPr>
      </w:pPr>
      <w:r w:rsidRPr="00943BE6">
        <w:rPr>
          <w:rFonts w:ascii="Palatino Linotype" w:hAnsi="Palatino Linotype"/>
        </w:rPr>
        <w:t>Seeking to build upon the successes of recurrent networks, researchers began exploring methods to augment their capabilities, leading to hybrid architectures that fuse different model strengths</w:t>
      </w:r>
      <w:r w:rsidR="0082190A" w:rsidRPr="00943BE6">
        <w:rPr>
          <w:rFonts w:ascii="Palatino Linotype" w:hAnsi="Palatino Linotype"/>
        </w:rPr>
        <w:t>.</w:t>
      </w:r>
      <w:r w:rsidR="00A46AA5" w:rsidRPr="00943BE6">
        <w:rPr>
          <w:rFonts w:ascii="Palatino Linotype" w:hAnsi="Palatino Linotype"/>
        </w:rPr>
        <w:t xml:space="preserve"> One common approach involves using a 1D-CNN as a feature extractor, as CNNs excel at identifying local patterns</w:t>
      </w:r>
      <w:r w:rsidR="0082190A" w:rsidRPr="00943BE6">
        <w:rPr>
          <w:rFonts w:ascii="Palatino Linotype" w:hAnsi="Palatino Linotype"/>
        </w:rPr>
        <w:t xml:space="preserve"> and spatial hierarchies in data</w:t>
      </w:r>
      <w:r w:rsidR="00A46AA5" w:rsidRPr="00943BE6">
        <w:rPr>
          <w:rFonts w:ascii="Palatino Linotype" w:hAnsi="Palatino Linotype"/>
        </w:rPr>
        <w:t>. For example, Li and Dai</w:t>
      </w:r>
      <w:r w:rsidR="005B3332" w:rsidRPr="00943BE6">
        <w:rPr>
          <w:rFonts w:ascii="Palatino Linotype" w:hAnsi="Palatino Linotype"/>
        </w:rPr>
        <w:t xml:space="preserve"> </w:t>
      </w:r>
      <w:r w:rsidR="005B3332"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{"citationID":"UF3eBj4K","properties":{"formattedCitation":"[16]","plainCitation":"[16]","noteIndex":0},"citationItems":[{"id":"6m13q9SM/UT4DoDYy","uris":["http://zotero.org/users/16775479/items/KHUD3SY9"],"itemData":{"id":350,"type":"article-journal","abstract":"In this study, aiming at the problem that the price of Bitcoin varies greatly and is difficult to predict, a hybrid neural network model based on convolutional neural network (CNN) and long short‐term memory (LSTM) neural network is proposed. The transaction data of Bitcoin itself, as well as external information, such as macroeconomic variables and investor attention, are taken as input. Firstly, CNN is used for feature extraction. Then the feature vectors are input into LSTM for training and forecasting the short‐term price of Bitcoin. The result shows that the CNN‐LSTM hybrid neural network can effectively improve the accuracy of value prediction and direction prediction compared with the single structure neural network. The finding has important implications for researchers and investors in the digital currencies market.","container-title":"The Journal of Engineering","DOI":"10.1049/joe.2019.1203","ISSN":"2051-3305, 2051-3305","issue":"13","language":"en","license":"http://creativecommons.org/licenses/by/3.0/","note":"publisher: Institution of Engineering and Technology (IET)","page":"344-347","source":"Crossref","title":"Bitcoin price forecasting method based on CNN‐LSTM hybrid neural network model","volume":"2020","author":[{"family":"Li","given":"Yan"},{"family":"Dai","given":"Wei"}],"issued":{"date-parts":[["2020",7]]}}}],"schema":"https://github.com/citation-style-language/schema/raw/master/csl-citation.json"} </w:instrText>
      </w:r>
      <w:r w:rsidR="005B3332" w:rsidRPr="00943BE6">
        <w:rPr>
          <w:rFonts w:ascii="Palatino Linotype" w:hAnsi="Palatino Linotype"/>
        </w:rPr>
        <w:fldChar w:fldCharType="separate"/>
      </w:r>
      <w:r w:rsidR="003453BD" w:rsidRPr="00943BE6">
        <w:rPr>
          <w:rFonts w:ascii="Palatino Linotype" w:hAnsi="Palatino Linotype"/>
        </w:rPr>
        <w:t>[16]</w:t>
      </w:r>
      <w:r w:rsidR="005B3332" w:rsidRPr="00943BE6">
        <w:rPr>
          <w:rFonts w:ascii="Palatino Linotype" w:hAnsi="Palatino Linotype"/>
        </w:rPr>
        <w:fldChar w:fldCharType="end"/>
      </w:r>
      <w:r w:rsidR="00A46AA5" w:rsidRPr="00943BE6">
        <w:rPr>
          <w:rFonts w:ascii="Palatino Linotype" w:hAnsi="Palatino Linotype"/>
        </w:rPr>
        <w:t xml:space="preserve"> developed a CNN-LSTM hybrid model and showed that it enhanced both price level and directional forecasts for Bitcoin.</w:t>
      </w:r>
      <w:r w:rsidR="0082190A" w:rsidRPr="00943BE6">
        <w:rPr>
          <w:rFonts w:ascii="Palatino Linotype" w:hAnsi="Palatino Linotype"/>
        </w:rPr>
        <w:t xml:space="preserve"> Other recent studies have reinforced this, showing that hybrid CNN-LSTM models can outperform individual components by effectively capturing both spatial and temporal dependencies in financial data </w:t>
      </w:r>
      <w:r w:rsidR="0082190A"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{"citationID":"epUaOtY4","properties":{"formattedCitation":"[17]","plainCitation":"[17]","noteIndex":0},"citationItems":[{"id":"6m13q9SM/thZmUUhz","uris":["http://zotero.org/users/16775479/items/25YXDLUU"],"itemData":{"id":366,"type":"article-journal","container-title":"Neural Computing and Applications","DOI":"10.1007/s00521-020-04867-x","ISSN":"0941-0643, 1433-3058","issue":"23","journalAbbreviation":"Neural Comput &amp; Applic","language":"en","license":"https://www.springer.com/tdm","note":"publisher: Springer Science and Business Media LLC","page":"17351-17360","source":"Crossref","title":"A CNN–LSTM model for gold price time-series forecasting","volume":"32","author":[{"family":"Livieris","given":"Ioannis E."},{"family":"Pintelas","given":"Emmanuel"},{"family":"Pintelas","given":"Panagiotis"}],"issued":{"date-parts":[["2020",12]]}}}],"schema":"https://github.com/citation-style-language/schema/raw/master/csl-citation.json"} </w:instrText>
      </w:r>
      <w:r w:rsidR="0082190A" w:rsidRPr="00943BE6">
        <w:rPr>
          <w:rFonts w:ascii="Palatino Linotype" w:hAnsi="Palatino Linotype"/>
        </w:rPr>
        <w:fldChar w:fldCharType="separate"/>
      </w:r>
      <w:r w:rsidR="003453BD" w:rsidRPr="00943BE6">
        <w:rPr>
          <w:rFonts w:ascii="Palatino Linotype" w:hAnsi="Palatino Linotype"/>
        </w:rPr>
        <w:t>[17]</w:t>
      </w:r>
      <w:r w:rsidR="0082190A" w:rsidRPr="00943BE6">
        <w:rPr>
          <w:rFonts w:ascii="Palatino Linotype" w:hAnsi="Palatino Linotype"/>
        </w:rPr>
        <w:fldChar w:fldCharType="end"/>
      </w:r>
      <w:r w:rsidR="0082190A" w:rsidRPr="00943BE6">
        <w:rPr>
          <w:rFonts w:ascii="Palatino Linotype" w:hAnsi="Palatino Linotype"/>
        </w:rPr>
        <w:t>.</w:t>
      </w:r>
    </w:p>
    <w:p w14:paraId="506FC1B5" w14:textId="64630B7D" w:rsidR="00140091" w:rsidRPr="00943BE6" w:rsidRDefault="00A46AA5" w:rsidP="00A46AA5">
      <w:pPr>
        <w:spacing w:before="120" w:after="120" w:line="360" w:lineRule="auto"/>
        <w:ind w:firstLine="567"/>
        <w:rPr>
          <w:rFonts w:ascii="Palatino Linotype" w:hAnsi="Palatino Linotype"/>
        </w:rPr>
      </w:pPr>
      <w:r w:rsidRPr="00943BE6">
        <w:rPr>
          <w:rFonts w:ascii="Palatino Linotype" w:hAnsi="Palatino Linotype"/>
        </w:rPr>
        <w:t>M</w:t>
      </w:r>
      <w:r w:rsidR="00F03FB4" w:rsidRPr="00943BE6">
        <w:rPr>
          <w:rFonts w:ascii="Palatino Linotype" w:hAnsi="Palatino Linotype"/>
        </w:rPr>
        <w:t>ore recently, the Transformer, which relies entirely on self-attention mechanisms, has revolutionized sequence modeling</w:t>
      </w:r>
      <w:r w:rsidR="00B432A4" w:rsidRPr="00943BE6">
        <w:rPr>
          <w:rFonts w:ascii="Palatino Linotype" w:hAnsi="Palatino Linotype"/>
        </w:rPr>
        <w:t xml:space="preserve"> </w:t>
      </w:r>
      <w:r w:rsidR="00B432A4"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{"citationID":"gGXehy8R","properties":{"formattedCitation":"[18]","plainCitation":"[18]","noteIndex":0},"citationItems":[{"id":"6m13q9SM/VFIS8Q9v","uris":["http://zotero.org/users/16775479/items/22VLKWEF"],"itemData":{"id":329,"type":"article-journal","container-title":"Advances in neural information processing systems","page":"I","source":"Google Scholar","title":"Attention is all you need","volume":"30","author":[{"family":"Ashish","given":"Vaswani"}],"issued":{"date-parts":[["2017"]]}}}],"schema":"https://github.com/citation-style-language/schema/raw/master/csl-citation.json"} </w:instrText>
      </w:r>
      <w:r w:rsidR="00B432A4" w:rsidRPr="00943BE6">
        <w:rPr>
          <w:rFonts w:ascii="Palatino Linotype" w:hAnsi="Palatino Linotype"/>
        </w:rPr>
        <w:fldChar w:fldCharType="separate"/>
      </w:r>
      <w:r w:rsidR="003453BD" w:rsidRPr="00943BE6">
        <w:rPr>
          <w:rFonts w:ascii="Palatino Linotype" w:hAnsi="Palatino Linotype"/>
        </w:rPr>
        <w:t>[18]</w:t>
      </w:r>
      <w:r w:rsidR="00B432A4" w:rsidRPr="00943BE6">
        <w:rPr>
          <w:rFonts w:ascii="Palatino Linotype" w:hAnsi="Palatino Linotype"/>
        </w:rPr>
        <w:fldChar w:fldCharType="end"/>
      </w:r>
      <w:r w:rsidRPr="00943BE6">
        <w:rPr>
          <w:rFonts w:ascii="Palatino Linotype" w:hAnsi="Palatino Linotype"/>
        </w:rPr>
        <w:t xml:space="preserve">. This has led to state-of-the-art results in many domains, and researchers have begun applying them to financial forecasting. </w:t>
      </w:r>
      <w:r w:rsidR="00DF0D05" w:rsidRPr="00943BE6">
        <w:rPr>
          <w:rFonts w:ascii="Palatino Linotype" w:hAnsi="Palatino Linotype"/>
        </w:rPr>
        <w:t xml:space="preserve">However, the presumed dominance of </w:t>
      </w:r>
      <w:r w:rsidR="00DF0D05" w:rsidRPr="00943BE6">
        <w:rPr>
          <w:rFonts w:ascii="Palatino Linotype" w:hAnsi="Palatino Linotype"/>
        </w:rPr>
        <w:lastRenderedPageBreak/>
        <w:t>Transformers in time series forecasting was critically challenged by the foundational work of Zeng et al.</w:t>
      </w:r>
      <w:r w:rsidR="00075319" w:rsidRPr="00943BE6">
        <w:rPr>
          <w:rFonts w:ascii="Palatino Linotype" w:hAnsi="Palatino Linotype"/>
        </w:rPr>
        <w:t xml:space="preserve"> </w:t>
      </w:r>
      <w:r w:rsidR="00075319"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5yp77I70","properties":{"formattedCitation":"[19]","plainCitation":"[19]","noteIndex":0},"citationItems":[{"id":"6m13q9SM/Qtg5zuEE","uris":["http://zotero.org/users/16775479/items/V85ZEZJJ"],"itemData":{"id":352,"type":"paper-conference","container-title":"Proceedings of the AAAI conference on artificial intelligence","note":"issue: 9","page":"11121–11128","source":"Google Scholar","title":"Are transformers effective for time series forecasting?","URL":"https://ojs.aaai.org/index.php/AAAI/article/view/26317","volume":"37","author":[{"family":"Zeng","given":"Ailing"},{"family":"Chen","given":"Muxi"},{"family":"Zhang","given":"Lei"},{"family":"Xu","given":"Qiang"}],"accessed":{"date-parts":[["2025",7,24]]},"issued":{"date-parts":[["2023"]]}}}],"schema":"https://github.com/citation-style-language/schema/raw/master/csl-citation.json"} </w:instrText>
      </w:r>
      <w:r w:rsidR="00075319" w:rsidRPr="00943BE6">
        <w:rPr>
          <w:rFonts w:ascii="Palatino Linotype" w:hAnsi="Palatino Linotype"/>
        </w:rPr>
        <w:fldChar w:fldCharType="separate"/>
      </w:r>
      <w:r w:rsidR="003453BD" w:rsidRPr="00943BE6">
        <w:rPr>
          <w:rFonts w:ascii="Palatino Linotype" w:hAnsi="Palatino Linotype"/>
        </w:rPr>
        <w:t>[19]</w:t>
      </w:r>
      <w:r w:rsidR="00075319" w:rsidRPr="00943BE6">
        <w:rPr>
          <w:rFonts w:ascii="Palatino Linotype" w:hAnsi="Palatino Linotype"/>
        </w:rPr>
        <w:fldChar w:fldCharType="end"/>
      </w:r>
      <w:r w:rsidR="00DF0D05" w:rsidRPr="00943BE6">
        <w:rPr>
          <w:rFonts w:ascii="Palatino Linotype" w:hAnsi="Palatino Linotype"/>
        </w:rPr>
        <w:t>. Their study demonstrated that surprisingly simple architectures, including linear variants, could achieve competitive or even superior performance, underscoring the principle that architectural complexity is not a universal proxy for predictive accuracy</w:t>
      </w:r>
      <w:r w:rsidRPr="00943BE6">
        <w:rPr>
          <w:rFonts w:ascii="Palatino Linotype" w:hAnsi="Palatino Linotype"/>
        </w:rPr>
        <w:t>. Meanwhile, other researchers developed specialized variants like Hidformer for stock forecasting and explored the advantages of Transformers for high-frequency trading</w:t>
      </w:r>
      <w:r w:rsidR="00075319" w:rsidRPr="00943BE6">
        <w:rPr>
          <w:rFonts w:ascii="Palatino Linotype" w:hAnsi="Palatino Linotype"/>
        </w:rPr>
        <w:t xml:space="preserve"> </w:t>
      </w:r>
      <w:r w:rsidR="00075319"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{"citationID":"NYg7t6R7","properties":{"formattedCitation":"[20], [21]","plainCitation":"[20], [21]","noteIndex":0},"citationItems":[{"id":"6m13q9SM/1z56F69a","uris":["http://zotero.org/users/16775479/items/H9A49C2E"],"itemData":{"id":354,"type":"article","abstract":"This paper investigates the application of Transformer-based neural networks to stock price forecasting, with a special focus on the intersection of machine learning techniques and financial market analysis. The evolution of Transformer models, from their inception to their adaptation for time series analysis in financial contexts, is reviewed and discussed. Central to our study is the exploration of the Hidformer model, which is currently recognized for its promising performance in time series prediction. The primary aim of this paper is to determine whether Hidformer will also prove itself in the task of stock price prediction. This slightly modified model serves as the framework for our experiments, integrating the principles of technical analysis with advanced machine learning concepts to enhance stock price prediction accuracy. We conduct an evaluation of the Hidformer model's performance, using a set of criteria to determine its efficacy. Our findings offer additional insights into the practical application of Transformer architectures in financial time series forecasting, highlighting their potential to improve algorithmic trading strategies, including human decision making.","DOI":"10.48550/arXiv.2412.19932","note":"arXiv:2412.19932 [cs]","number":"arXiv:2412.19932","publisher":"arXiv","source":"arXiv.org","title":"Hidformer: Transformer-Style Neural Network in Stock Price Forecasting","title-short":"Hidformer","URL":"http://arxiv.org/abs/2412.19932","author":[{"family":"Szydłowski","given":"Kamil Ł"},{"family":"Chudziak","given":"Jarosław A."}],"accessed":{"date-parts":[["2025",7,24]]},"issued":{"date-parts":[["2024",12,27]]}}},{"id":"6m13q9SM/UfSqLyBx","uris":["http://zotero.org/users/16775479/items/32342AS4"],"itemData":{"id":358,"type":"article","abstract":"This paper explores the novel deep learning Transformers architectures for high-frequency Bitcoin-USDT log-return forecasting and compares them to the traditional Long Short-Term Memory models. A hybrid Transformer model, called \\textbf{HFformer}, is then introduced for time series forecasting which incorporates a Transformer encoder, linear decoder, spiking activations, and quantile loss function, and does not use position encoding. Furthermore, possible high-frequency trading strategies for use with the HFformer model are discussed, including trade sizing, trading signal aggregation, and minimal trading threshold. Ultimately, the performance of the HFformer and Long Short-Term Memory models are assessed and results indicate that the HFformer achieves a higher cumulative PnL than the LSTM when trading with multiple signals during backtesting.","DOI":"10.48550/arXiv.2302.13850","note":"arXiv:2302.13850 [q-fin]","number":"arXiv:2302.13850","publisher":"arXiv","source":"arXiv.org","title":"Exploring the Advantages of Transformers for High-Frequency Trading","URL":"http://arxiv.org/abs/2302.13850","author":[{"family":"Barez","given":"Fazl"},{"family":"Bilokon","given":"Paul"},{"family":"Gervais","given":"Arthur"},{"family":"Lisitsyn","given":"Nikita"}],"accessed":{"date-parts":[["2025",7,24]]},"issued":{"date-parts":[["2023",2,20]]}}}],"schema":"https://github.com/citation-style-language/schema/raw/master/csl-citation.json"} </w:instrText>
      </w:r>
      <w:r w:rsidR="00075319" w:rsidRPr="00943BE6">
        <w:rPr>
          <w:rFonts w:ascii="Palatino Linotype" w:hAnsi="Palatino Linotype"/>
        </w:rPr>
        <w:fldChar w:fldCharType="separate"/>
      </w:r>
      <w:r w:rsidR="003453BD" w:rsidRPr="00943BE6">
        <w:rPr>
          <w:rFonts w:ascii="Palatino Linotype" w:hAnsi="Palatino Linotype"/>
        </w:rPr>
        <w:t>[20], [21]</w:t>
      </w:r>
      <w:r w:rsidR="00075319" w:rsidRPr="00943BE6">
        <w:rPr>
          <w:rFonts w:ascii="Palatino Linotype" w:hAnsi="Palatino Linotype"/>
        </w:rPr>
        <w:fldChar w:fldCharType="end"/>
      </w:r>
      <w:r w:rsidRPr="00943BE6">
        <w:rPr>
          <w:rFonts w:ascii="Palatino Linotype" w:hAnsi="Palatino Linotype"/>
        </w:rPr>
        <w:t>.</w:t>
      </w:r>
    </w:p>
    <w:p w14:paraId="5A237C49" w14:textId="2E99F101" w:rsidR="00DF0D05" w:rsidRPr="00943BE6" w:rsidRDefault="00150DB3" w:rsidP="001340BA">
      <w:pPr>
        <w:spacing w:before="120" w:after="120" w:line="360" w:lineRule="auto"/>
        <w:ind w:firstLine="567"/>
        <w:rPr>
          <w:rFonts w:ascii="Palatino Linotype" w:hAnsi="Palatino Linotype"/>
        </w:rPr>
      </w:pPr>
      <w:r w:rsidRPr="00943BE6">
        <w:rPr>
          <w:rFonts w:ascii="Palatino Linotype" w:hAnsi="Palatino Linotype"/>
        </w:rPr>
        <w:t xml:space="preserve">Although a growing body of literature demonstrates the merits of individual models, a conspicuous gap remains in the comparative evaluation of their effectiveness. </w:t>
      </w:r>
      <w:r w:rsidR="001340BA" w:rsidRPr="00943BE6">
        <w:rPr>
          <w:rFonts w:ascii="Palatino Linotype" w:hAnsi="Palatino Linotype"/>
        </w:rPr>
        <w:t xml:space="preserve">Many studies focus on a limited set of models or use different datasets and evaluation metrics, making direct comparison difficult. As noted in recent reviews, there is a lack of comprehensive comparative analysis of different deep learning architectures across various financial markets and time horizons. </w:t>
      </w:r>
      <w:r w:rsidRPr="00943BE6">
        <w:rPr>
          <w:rFonts w:ascii="Palatino Linotype" w:hAnsi="Palatino Linotype"/>
        </w:rPr>
        <w:t>The field lacks a systematic benchmark where these diverse architectures are evaluated under consistent experimental settings</w:t>
      </w:r>
      <w:r w:rsidR="001340BA" w:rsidRPr="00943BE6">
        <w:rPr>
          <w:rFonts w:ascii="Palatino Linotype" w:hAnsi="Palatino Linotype"/>
        </w:rPr>
        <w:t xml:space="preserve"> </w:t>
      </w:r>
      <w:r w:rsidR="001340BA" w:rsidRPr="00943BE6">
        <w:rPr>
          <w:rFonts w:ascii="Palatino Linotype" w:hAnsi="Palatino Linotype"/>
        </w:rPr>
        <w:fldChar w:fldCharType="begin"/>
      </w:r>
      <w:r w:rsidR="003453BD" w:rsidRPr="00943BE6">
        <w:rPr>
          <w:rFonts w:ascii="Palatino Linotype" w:hAnsi="Palatino Linotype"/>
        </w:rPr>
        <w:instrText xml:space="preserve"> ADDIN ZOTERO_ITEM CSL_CITATION {"citationID":"GCLA0Era","properties":{"formattedCitation":"[8]","plainCitation":"[8]","noteIndex":0},"citationItems":[{"id":"6m13q9SM/dsU5COSL","uris":["http://zotero.org/users/16775479/items/4X8E767F"],"itemData":{"id":367,"type":"article-journal","container-title":"Applied soft computing","note":"publisher: Elsevier","page":"106181","source":"Google Scholar","title":"Financial time series forecasting with deep learning: A systematic literature review: 2005–2019","title-short":"Financial time series forecasting with deep learning","volume":"90","author":[{"family":"Sezer","given":"Omer Berat"},{"family":"Gudelek","given":"Mehmet Ugur"},{"family":"Ozbayoglu","given":"Ahmet Murat"}],"issued":{"date-parts":[["2020"]]}}}],"schema":"https://github.com/citation-style-language/schema/raw/master/csl-citation.json"} </w:instrText>
      </w:r>
      <w:r w:rsidR="001340BA" w:rsidRPr="00943BE6">
        <w:rPr>
          <w:rFonts w:ascii="Palatino Linotype" w:hAnsi="Palatino Linotype"/>
        </w:rPr>
        <w:fldChar w:fldCharType="separate"/>
      </w:r>
      <w:r w:rsidR="003453BD" w:rsidRPr="00943BE6">
        <w:rPr>
          <w:rFonts w:ascii="Palatino Linotype" w:hAnsi="Palatino Linotype"/>
        </w:rPr>
        <w:t>[8]</w:t>
      </w:r>
      <w:r w:rsidR="001340BA" w:rsidRPr="00943BE6">
        <w:rPr>
          <w:rFonts w:ascii="Palatino Linotype" w:hAnsi="Palatino Linotype"/>
        </w:rPr>
        <w:fldChar w:fldCharType="end"/>
      </w:r>
      <w:r w:rsidRPr="00943BE6">
        <w:rPr>
          <w:rFonts w:ascii="Palatino Linotype" w:hAnsi="Palatino Linotype"/>
        </w:rPr>
        <w:t>. Therefore, this study is conducted to provide a comprehensive performance comparison of LSTM, Bi-LSTM, GRU, Transformer, and 1D-CNN across various forecasting horizons. Our objective is to replace anecdotal evidence with a robust empirical foundation, thereby offering validated guidance for selecting the most effective forecasting solution.</w:t>
      </w:r>
    </w:p>
    <w:p w14:paraId="5718A3C8" w14:textId="6828D044" w:rsidR="00DA130A" w:rsidRPr="00943BE6" w:rsidRDefault="00DA130A" w:rsidP="00DE58BB">
      <w:pPr>
        <w:pStyle w:val="heading1"/>
        <w:tabs>
          <w:tab w:val="left" w:pos="567"/>
        </w:tabs>
        <w:spacing w:before="120" w:after="120" w:line="360" w:lineRule="auto"/>
        <w:ind w:left="0" w:firstLine="0"/>
        <w:jc w:val="both"/>
        <w:rPr>
          <w:rFonts w:ascii="Palatino Linotype" w:hAnsi="Palatino Linotype"/>
          <w:szCs w:val="24"/>
        </w:rPr>
      </w:pPr>
      <w:r w:rsidRPr="00943BE6">
        <w:rPr>
          <w:rFonts w:ascii="Palatino Linotype" w:hAnsi="Palatino Linotype"/>
          <w:szCs w:val="24"/>
        </w:rPr>
        <w:t xml:space="preserve">Bitcoin Price Forecasting Method Based on </w:t>
      </w:r>
      <w:r w:rsidR="00D6073A" w:rsidRPr="00943BE6">
        <w:rPr>
          <w:rFonts w:ascii="Palatino Linotype" w:hAnsi="Palatino Linotype"/>
          <w:szCs w:val="24"/>
        </w:rPr>
        <w:t xml:space="preserve">GRU </w:t>
      </w:r>
      <w:r w:rsidR="00DE58BB" w:rsidRPr="00943BE6">
        <w:rPr>
          <w:rFonts w:ascii="Palatino Linotype" w:hAnsi="Palatino Linotype"/>
          <w:szCs w:val="24"/>
        </w:rPr>
        <w:t>Networks</w:t>
      </w:r>
      <w:r w:rsidRPr="00943BE6">
        <w:rPr>
          <w:rFonts w:ascii="Palatino Linotype" w:hAnsi="Palatino Linotype"/>
          <w:szCs w:val="24"/>
        </w:rPr>
        <w:t xml:space="preserve"> and Sliding Window Technique</w:t>
      </w:r>
    </w:p>
    <w:p w14:paraId="67500825" w14:textId="77777777" w:rsidR="00DA130A" w:rsidRPr="00943BE6" w:rsidRDefault="00DA130A" w:rsidP="001C7C89">
      <w:pPr>
        <w:pStyle w:val="heading2"/>
        <w:spacing w:before="120" w:after="120" w:line="360" w:lineRule="auto"/>
        <w:rPr>
          <w:rFonts w:ascii="Palatino Linotype" w:hAnsi="Palatino Linotype"/>
          <w:bCs/>
          <w:color w:val="000000" w:themeColor="text1"/>
        </w:rPr>
      </w:pPr>
      <w:r w:rsidRPr="00943BE6">
        <w:rPr>
          <w:rFonts w:ascii="Palatino Linotype" w:hAnsi="Palatino Linotype"/>
          <w:bCs/>
          <w:color w:val="000000" w:themeColor="text1"/>
        </w:rPr>
        <w:t>Time Series Preprocessing Using the Sliding Window Approach</w:t>
      </w:r>
    </w:p>
    <w:p w14:paraId="2BBB81DE" w14:textId="77777777" w:rsidR="005F0662" w:rsidRPr="00943BE6" w:rsidRDefault="005F0662" w:rsidP="005F0662">
      <w:pPr>
        <w:spacing w:before="120" w:after="120" w:line="360" w:lineRule="auto"/>
        <w:ind w:firstLine="0"/>
        <w:rPr>
          <w:rFonts w:ascii="Palatino Linotype" w:hAnsi="Palatino Linotype"/>
        </w:rPr>
      </w:pPr>
      <w:r w:rsidRPr="00943BE6">
        <w:rPr>
          <w:rFonts w:ascii="Palatino Linotype" w:hAnsi="Palatino Linotype"/>
        </w:rPr>
        <w:t xml:space="preserve">To transform the Bitcoin price data </w:t>
      </w:r>
      <m:oMath>
        <m:r>
          <m:rPr>
            <m:sty m:val="p"/>
          </m:rPr>
          <w:rPr>
            <w:rFonts w:ascii="Cambria Math" w:hAnsi="Cambria Math"/>
          </w:rPr>
          <m:t>B∈</m:t>
        </m:r>
        <m:sSup>
          <m:sSupPr>
            <m:ctrlPr>
              <w:rPr>
                <w:rFonts w:ascii="Cambria Math" w:hAnsi="Cambria Math"/>
              </w:rPr>
            </m:ctrlPr>
          </m:sSupPr>
          <m:e>
            <m:r>
              <m:rPr>
                <m:sty m:val="p"/>
              </m:rPr>
              <w:rPr>
                <w:rFonts w:ascii="Cambria Math" w:hAnsi="Cambria Math"/>
              </w:rPr>
              <m:t>R</m:t>
            </m:r>
          </m:e>
          <m:sup>
            <m:r>
              <m:rPr>
                <m:sty m:val="p"/>
              </m:rPr>
              <w:rPr>
                <w:rFonts w:ascii="Cambria Math" w:hAnsi="Cambria Math"/>
              </w:rPr>
              <m:t>n×m</m:t>
            </m:r>
          </m:sup>
        </m:sSup>
      </m:oMath>
      <w:r w:rsidRPr="00943BE6">
        <w:rPr>
          <w:rFonts w:ascii="Palatino Linotype" w:hAnsi="Palatino Linotype"/>
        </w:rPr>
        <w:t xml:space="preserve"> into a supervised learning format suitable for deep learning models, we employ the sliding window technique. This method generates overlapping sequences of input-output pairs by sliding a fixed-size window across the time series.</w:t>
      </w:r>
    </w:p>
    <w:p w14:paraId="45499B8F" w14:textId="1209E3C9" w:rsidR="005F0662" w:rsidRPr="00943BE6" w:rsidRDefault="005F0662" w:rsidP="00B95747">
      <w:pPr>
        <w:spacing w:before="120" w:after="120" w:line="360" w:lineRule="auto"/>
        <w:ind w:firstLine="720"/>
        <w:rPr>
          <w:rFonts w:ascii="Palatino Linotype" w:hAnsi="Palatino Linotype"/>
        </w:rPr>
      </w:pPr>
      <w:r w:rsidRPr="00943BE6">
        <w:rPr>
          <w:rFonts w:ascii="Palatino Linotype" w:hAnsi="Palatino Linotype"/>
        </w:rPr>
        <w:t xml:space="preserve">For a given time step </w:t>
      </w:r>
      <m:oMath>
        <m:r>
          <m:rPr>
            <m:sty m:val="p"/>
          </m:rPr>
          <w:rPr>
            <w:rFonts w:ascii="Cambria Math" w:hAnsi="Cambria Math"/>
          </w:rPr>
          <m:t>t</m:t>
        </m:r>
      </m:oMath>
      <w:r w:rsidRPr="00943BE6">
        <w:rPr>
          <w:rFonts w:ascii="Palatino Linotype" w:hAnsi="Palatino Linotype"/>
        </w:rPr>
        <w:t xml:space="preserve">, the input sequence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t</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R</m:t>
            </m:r>
          </m:e>
          <m:sup>
            <m:r>
              <m:rPr>
                <m:sty m:val="p"/>
              </m:rPr>
              <w:rPr>
                <w:rFonts w:ascii="Cambria Math" w:hAnsi="Cambria Math"/>
              </w:rPr>
              <m:t>l×m</m:t>
            </m:r>
          </m:sup>
        </m:sSup>
      </m:oMath>
      <w:r w:rsidRPr="00943BE6">
        <w:rPr>
          <w:rFonts w:ascii="Palatino Linotype" w:hAnsi="Palatino Linotype"/>
        </w:rPr>
        <w:t xml:space="preserve"> consists of historical data from the preceding </w:t>
      </w:r>
      <m:oMath>
        <m:r>
          <m:rPr>
            <m:sty m:val="p"/>
          </m:rPr>
          <w:rPr>
            <w:rFonts w:ascii="Cambria Math" w:hAnsi="Cambria Math"/>
          </w:rPr>
          <m:t>l</m:t>
        </m:r>
      </m:oMath>
      <w:r w:rsidRPr="00943BE6">
        <w:rPr>
          <w:rFonts w:ascii="Palatino Linotype" w:hAnsi="Palatino Linotype"/>
        </w:rPr>
        <w:t xml:space="preserve"> time steps (lookback window), while the corresponding output </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t</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R</m:t>
            </m:r>
          </m:e>
          <m:sup>
            <m:r>
              <m:rPr>
                <m:sty m:val="p"/>
              </m:rPr>
              <w:rPr>
                <w:rFonts w:ascii="Cambria Math" w:hAnsi="Cambria Math"/>
              </w:rPr>
              <m:t>p×l</m:t>
            </m:r>
          </m:sup>
        </m:sSup>
      </m:oMath>
      <w:r w:rsidRPr="00943BE6">
        <w:rPr>
          <w:rFonts w:ascii="Palatino Linotype" w:hAnsi="Palatino Linotype"/>
        </w:rPr>
        <w:t xml:space="preserve"> represents the target values for the subsequent </w:t>
      </w:r>
      <m:oMath>
        <m:r>
          <w:rPr>
            <w:rFonts w:ascii="Cambria Math" w:hAnsi="Cambria Math"/>
          </w:rPr>
          <m:t>f</m:t>
        </m:r>
      </m:oMath>
      <w:r w:rsidR="00B95747" w:rsidRPr="00943BE6">
        <w:rPr>
          <w:rFonts w:ascii="Palatino Linotype" w:hAnsi="Palatino Linotype"/>
        </w:rPr>
        <w:t xml:space="preserve"> </w:t>
      </w:r>
      <w:r w:rsidRPr="00943BE6">
        <w:rPr>
          <w:rFonts w:ascii="Palatino Linotype" w:hAnsi="Palatino Linotype"/>
        </w:rPr>
        <w:t xml:space="preserve">time steps (forecast horizon). This process results in an input tensor </w:t>
      </w:r>
      <m:oMath>
        <m:r>
          <m:rPr>
            <m:sty m:val="p"/>
          </m:rPr>
          <w:rPr>
            <w:rFonts w:ascii="Cambria Math" w:hAnsi="Cambria Math"/>
          </w:rPr>
          <m:t>I</m:t>
        </m:r>
      </m:oMath>
      <w:r w:rsidR="00B95747" w:rsidRPr="00943BE6">
        <w:rPr>
          <w:rFonts w:ascii="Palatino Linotype" w:hAnsi="Palatino Linotype"/>
        </w:rPr>
        <w:t xml:space="preserve"> </w:t>
      </w:r>
      <w:r w:rsidRPr="00943BE6">
        <w:rPr>
          <w:rFonts w:ascii="Palatino Linotype" w:hAnsi="Palatino Linotype"/>
        </w:rPr>
        <w:t>and an output tensor</w:t>
      </w:r>
      <w:r w:rsidR="00B95747" w:rsidRPr="00943BE6">
        <w:rPr>
          <w:rFonts w:ascii="Palatino Linotype" w:hAnsi="Palatino Linotype"/>
        </w:rPr>
        <w:t xml:space="preserve"> </w:t>
      </w:r>
      <m:oMath>
        <m:r>
          <m:rPr>
            <m:sty m:val="p"/>
          </m:rPr>
          <w:rPr>
            <w:rFonts w:ascii="Cambria Math" w:hAnsi="Cambria Math"/>
          </w:rPr>
          <m:t>O</m:t>
        </m:r>
      </m:oMath>
      <w:r w:rsidRPr="00943BE6">
        <w:rPr>
          <w:rFonts w:ascii="Palatino Linotype" w:hAnsi="Palatino Linotype"/>
        </w:rPr>
        <w:t>, allowing the model to learn the mapping from past market states to future price trajectories.</w:t>
      </w:r>
      <w:r w:rsidR="00B95747" w:rsidRPr="00943BE6">
        <w:rPr>
          <w:rFonts w:ascii="Palatino Linotype" w:hAnsi="Palatino Linotype"/>
        </w:rPr>
        <w:t xml:space="preserve"> </w:t>
      </w:r>
      <w:r w:rsidRPr="00943BE6">
        <w:rPr>
          <w:rFonts w:ascii="Palatino Linotype" w:hAnsi="Palatino Linotype"/>
        </w:rPr>
        <w:t>The procedure for generating these sequences is detailed in</w:t>
      </w:r>
      <w:r w:rsidR="00C01D82" w:rsidRPr="00943BE6">
        <w:rPr>
          <w:rFonts w:ascii="Palatino Linotype" w:hAnsi="Palatino Linotype"/>
        </w:rPr>
        <w:t xml:space="preserve"> </w:t>
      </w:r>
      <w:r w:rsidR="00C01D82" w:rsidRPr="00943BE6">
        <w:rPr>
          <w:rFonts w:ascii="Palatino Linotype" w:hAnsi="Palatino Linotype"/>
        </w:rPr>
        <w:fldChar w:fldCharType="begin"/>
      </w:r>
      <w:r w:rsidR="00C01D82" w:rsidRPr="00943BE6">
        <w:rPr>
          <w:rFonts w:ascii="Palatino Linotype" w:hAnsi="Palatino Linotype"/>
        </w:rPr>
        <w:instrText xml:space="preserve"> REF _Ref218803402 \h  \* MERGEFORMAT </w:instrText>
      </w:r>
      <w:r w:rsidR="00C01D82" w:rsidRPr="00943BE6">
        <w:rPr>
          <w:rFonts w:ascii="Palatino Linotype" w:hAnsi="Palatino Linotype"/>
        </w:rPr>
      </w:r>
      <w:r w:rsidR="00C01D82" w:rsidRPr="00943BE6">
        <w:rPr>
          <w:rFonts w:ascii="Palatino Linotype" w:hAnsi="Palatino Linotype"/>
        </w:rPr>
        <w:fldChar w:fldCharType="separate"/>
      </w:r>
      <w:r w:rsidR="0085441D" w:rsidRPr="00943BE6">
        <w:rPr>
          <w:rFonts w:ascii="Palatino Linotype" w:hAnsi="Palatino Linotype"/>
          <w:b/>
          <w:bCs/>
          <w:szCs w:val="16"/>
        </w:rPr>
        <w:t xml:space="preserve">Algorithm </w:t>
      </w:r>
      <w:r w:rsidR="0085441D" w:rsidRPr="00943BE6">
        <w:rPr>
          <w:rFonts w:ascii="Palatino Linotype" w:hAnsi="Palatino Linotype"/>
          <w:b/>
          <w:bCs/>
          <w:noProof/>
          <w:szCs w:val="16"/>
        </w:rPr>
        <w:t>1</w:t>
      </w:r>
      <w:r w:rsidR="00C01D82" w:rsidRPr="00943BE6">
        <w:rPr>
          <w:rFonts w:ascii="Palatino Linotype" w:hAnsi="Palatino Linotype"/>
        </w:rPr>
        <w:fldChar w:fldCharType="end"/>
      </w:r>
      <w:r w:rsidRPr="00943BE6">
        <w:rPr>
          <w:rFonts w:ascii="Palatino Linotype" w:hAnsi="Palatino Linotype"/>
        </w:rPr>
        <w:t>.</w:t>
      </w:r>
    </w:p>
    <w:p w14:paraId="4CF87541" w14:textId="1B59054B" w:rsidR="00FB0D46" w:rsidRPr="00943BE6" w:rsidRDefault="00FB0D46" w:rsidP="00FB0D46">
      <w:pPr>
        <w:pStyle w:val="Caption"/>
        <w:keepNext/>
        <w:jc w:val="both"/>
        <w:rPr>
          <w:i w:val="0"/>
          <w:iCs/>
          <w:sz w:val="20"/>
          <w:szCs w:val="16"/>
        </w:rPr>
      </w:pPr>
      <w:bookmarkStart w:id="1" w:name="_Ref218803402"/>
      <w:r w:rsidRPr="00943BE6">
        <w:rPr>
          <w:b/>
          <w:bCs w:val="0"/>
          <w:i w:val="0"/>
          <w:iCs/>
          <w:sz w:val="20"/>
          <w:szCs w:val="16"/>
        </w:rPr>
        <w:t xml:space="preserve">Algorithm </w:t>
      </w:r>
      <w:r w:rsidRPr="00943BE6">
        <w:rPr>
          <w:b/>
          <w:bCs w:val="0"/>
          <w:i w:val="0"/>
          <w:iCs/>
          <w:sz w:val="20"/>
          <w:szCs w:val="16"/>
        </w:rPr>
        <w:fldChar w:fldCharType="begin"/>
      </w:r>
      <w:r w:rsidRPr="00943BE6">
        <w:rPr>
          <w:b/>
          <w:bCs w:val="0"/>
          <w:i w:val="0"/>
          <w:iCs/>
          <w:sz w:val="20"/>
          <w:szCs w:val="16"/>
        </w:rPr>
        <w:instrText xml:space="preserve"> SEQ Algorithm \* ARABIC </w:instrText>
      </w:r>
      <w:r w:rsidRPr="00943BE6">
        <w:rPr>
          <w:b/>
          <w:bCs w:val="0"/>
          <w:i w:val="0"/>
          <w:iCs/>
          <w:sz w:val="20"/>
          <w:szCs w:val="16"/>
        </w:rPr>
        <w:fldChar w:fldCharType="separate"/>
      </w:r>
      <w:r w:rsidR="0085441D" w:rsidRPr="00943BE6">
        <w:rPr>
          <w:b/>
          <w:bCs w:val="0"/>
          <w:i w:val="0"/>
          <w:iCs/>
          <w:noProof/>
          <w:sz w:val="20"/>
          <w:szCs w:val="16"/>
        </w:rPr>
        <w:t>1</w:t>
      </w:r>
      <w:r w:rsidRPr="00943BE6">
        <w:rPr>
          <w:b/>
          <w:bCs w:val="0"/>
          <w:i w:val="0"/>
          <w:iCs/>
          <w:sz w:val="20"/>
          <w:szCs w:val="16"/>
        </w:rPr>
        <w:fldChar w:fldCharType="end"/>
      </w:r>
      <w:bookmarkEnd w:id="1"/>
      <w:r w:rsidRPr="00943BE6">
        <w:rPr>
          <w:i w:val="0"/>
          <w:iCs/>
          <w:sz w:val="20"/>
          <w:szCs w:val="16"/>
        </w:rPr>
        <w:t>. Generating sliding window data</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6768"/>
      </w:tblGrid>
      <w:tr w:rsidR="00B95747" w:rsidRPr="00943BE6" w14:paraId="69081595" w14:textId="77777777" w:rsidTr="00320A18">
        <w:tc>
          <w:tcPr>
            <w:tcW w:w="6768" w:type="dxa"/>
            <w:tcBorders>
              <w:top w:val="single" w:sz="12" w:space="0" w:color="auto"/>
              <w:bottom w:val="single" w:sz="12" w:space="0" w:color="auto"/>
            </w:tcBorders>
          </w:tcPr>
          <w:p w14:paraId="0C777048" w14:textId="77777777" w:rsidR="00B95747" w:rsidRPr="00943BE6" w:rsidRDefault="00B95747" w:rsidP="00B95747">
            <w:pPr>
              <w:spacing w:line="276" w:lineRule="auto"/>
              <w:ind w:firstLine="0"/>
              <w:rPr>
                <w:rFonts w:ascii="Consolas" w:hAnsi="Consolas"/>
                <w:b/>
                <w:bCs/>
                <w:sz w:val="18"/>
                <w:szCs w:val="18"/>
              </w:rPr>
            </w:pPr>
            <w:r w:rsidRPr="00943BE6">
              <w:rPr>
                <w:rFonts w:ascii="Consolas" w:hAnsi="Consolas"/>
                <w:b/>
                <w:bCs/>
                <w:sz w:val="18"/>
                <w:szCs w:val="18"/>
              </w:rPr>
              <w:t xml:space="preserve">Input: </w:t>
            </w:r>
          </w:p>
          <w:p w14:paraId="6FBF7777" w14:textId="65C688B5" w:rsidR="00B95747" w:rsidRPr="00943BE6" w:rsidRDefault="00B95747" w:rsidP="00B95747">
            <w:pPr>
              <w:spacing w:line="276" w:lineRule="auto"/>
              <w:ind w:firstLine="0"/>
              <w:rPr>
                <w:rFonts w:ascii="Consolas" w:hAnsi="Consolas"/>
                <w:sz w:val="18"/>
                <w:szCs w:val="18"/>
              </w:rPr>
            </w:pPr>
            <w:r w:rsidRPr="00943BE6">
              <w:rPr>
                <w:rFonts w:ascii="Consolas" w:hAnsi="Consolas"/>
                <w:sz w:val="18"/>
                <w:szCs w:val="18"/>
              </w:rPr>
              <w:t xml:space="preserve">data: Normalized time series dataset (size n x m) </w:t>
            </w:r>
          </w:p>
          <w:p w14:paraId="69270F31" w14:textId="77777777" w:rsidR="00B95747" w:rsidRPr="00943BE6" w:rsidRDefault="00B95747" w:rsidP="00B95747">
            <w:pPr>
              <w:spacing w:line="276" w:lineRule="auto"/>
              <w:ind w:firstLine="0"/>
              <w:rPr>
                <w:rFonts w:ascii="Consolas" w:hAnsi="Consolas"/>
                <w:sz w:val="18"/>
                <w:szCs w:val="18"/>
              </w:rPr>
            </w:pPr>
            <w:r w:rsidRPr="00943BE6">
              <w:rPr>
                <w:rFonts w:ascii="Consolas" w:hAnsi="Consolas"/>
                <w:sz w:val="18"/>
                <w:szCs w:val="18"/>
              </w:rPr>
              <w:t xml:space="preserve">l: Input window size (lookback period) </w:t>
            </w:r>
          </w:p>
          <w:p w14:paraId="09D7BE39" w14:textId="37D83A54" w:rsidR="00B95747" w:rsidRPr="00943BE6" w:rsidRDefault="00F1197A" w:rsidP="00B95747">
            <w:pPr>
              <w:spacing w:line="276" w:lineRule="auto"/>
              <w:ind w:firstLine="0"/>
              <w:rPr>
                <w:rFonts w:ascii="Consolas" w:hAnsi="Consolas"/>
                <w:sz w:val="18"/>
                <w:szCs w:val="18"/>
              </w:rPr>
            </w:pPr>
            <w:r w:rsidRPr="00943BE6">
              <w:rPr>
                <w:rFonts w:ascii="Consolas" w:hAnsi="Consolas"/>
                <w:sz w:val="18"/>
                <w:szCs w:val="18"/>
              </w:rPr>
              <w:t>f</w:t>
            </w:r>
            <w:r w:rsidR="00B95747" w:rsidRPr="00943BE6">
              <w:rPr>
                <w:rFonts w:ascii="Consolas" w:hAnsi="Consolas"/>
                <w:sz w:val="18"/>
                <w:szCs w:val="18"/>
              </w:rPr>
              <w:t xml:space="preserve">: Output window size (forecast horizon) </w:t>
            </w:r>
          </w:p>
          <w:p w14:paraId="78EE77C9" w14:textId="77777777" w:rsidR="00B95747" w:rsidRPr="00943BE6" w:rsidRDefault="00B95747" w:rsidP="00B95747">
            <w:pPr>
              <w:spacing w:line="276" w:lineRule="auto"/>
              <w:ind w:firstLine="0"/>
              <w:rPr>
                <w:rFonts w:ascii="Consolas" w:hAnsi="Consolas"/>
                <w:b/>
                <w:bCs/>
                <w:sz w:val="18"/>
                <w:szCs w:val="18"/>
              </w:rPr>
            </w:pPr>
            <w:r w:rsidRPr="00943BE6">
              <w:rPr>
                <w:rFonts w:ascii="Consolas" w:hAnsi="Consolas"/>
                <w:b/>
                <w:bCs/>
                <w:sz w:val="18"/>
                <w:szCs w:val="18"/>
              </w:rPr>
              <w:t xml:space="preserve">Output: </w:t>
            </w:r>
          </w:p>
          <w:p w14:paraId="5FC00D2E" w14:textId="5D1B3C8B" w:rsidR="00B95747" w:rsidRPr="00943BE6" w:rsidRDefault="00B95747" w:rsidP="00B95747">
            <w:pPr>
              <w:spacing w:line="276" w:lineRule="auto"/>
              <w:ind w:firstLine="0"/>
              <w:rPr>
                <w:rFonts w:ascii="Consolas" w:hAnsi="Consolas"/>
                <w:sz w:val="18"/>
                <w:szCs w:val="18"/>
              </w:rPr>
            </w:pPr>
            <w:r w:rsidRPr="00943BE6">
              <w:rPr>
                <w:rFonts w:ascii="Consolas" w:hAnsi="Consolas"/>
                <w:sz w:val="18"/>
                <w:szCs w:val="18"/>
              </w:rPr>
              <w:t xml:space="preserve">I: Input sequences (features) </w:t>
            </w:r>
          </w:p>
          <w:p w14:paraId="64B403F1" w14:textId="34A958CA" w:rsidR="00B95747" w:rsidRPr="00943BE6" w:rsidRDefault="00B95747" w:rsidP="00B95747">
            <w:pPr>
              <w:spacing w:line="276" w:lineRule="auto"/>
              <w:ind w:firstLine="0"/>
              <w:rPr>
                <w:rFonts w:ascii="Consolas" w:hAnsi="Consolas"/>
                <w:sz w:val="18"/>
                <w:szCs w:val="18"/>
              </w:rPr>
            </w:pPr>
            <w:r w:rsidRPr="00943BE6">
              <w:rPr>
                <w:rFonts w:ascii="Consolas" w:hAnsi="Consolas"/>
                <w:sz w:val="18"/>
                <w:szCs w:val="18"/>
              </w:rPr>
              <w:t>O: Output sequences (targets)</w:t>
            </w:r>
          </w:p>
        </w:tc>
      </w:tr>
      <w:tr w:rsidR="00B95747" w:rsidRPr="00943BE6" w14:paraId="4ACB62E5" w14:textId="77777777" w:rsidTr="00320A18">
        <w:tc>
          <w:tcPr>
            <w:tcW w:w="6768" w:type="dxa"/>
            <w:tcBorders>
              <w:top w:val="single" w:sz="12" w:space="0" w:color="auto"/>
            </w:tcBorders>
          </w:tcPr>
          <w:p w14:paraId="50504EB6" w14:textId="745EF3EF" w:rsidR="00B95747" w:rsidRPr="00943BE6" w:rsidRDefault="00B95747" w:rsidP="00B95747">
            <w:pPr>
              <w:spacing w:line="276" w:lineRule="auto"/>
              <w:ind w:firstLine="0"/>
              <w:rPr>
                <w:rFonts w:ascii="Consolas" w:hAnsi="Consolas"/>
                <w:sz w:val="18"/>
                <w:szCs w:val="18"/>
              </w:rPr>
            </w:pPr>
            <w:r w:rsidRPr="00943BE6">
              <w:rPr>
                <w:rFonts w:ascii="Consolas" w:hAnsi="Consolas"/>
                <w:sz w:val="18"/>
                <w:szCs w:val="18"/>
              </w:rPr>
              <w:t xml:space="preserve">function GenerateSlidingWindow(data, l, </w:t>
            </w:r>
            <w:r w:rsidR="00F1197A" w:rsidRPr="00943BE6">
              <w:rPr>
                <w:rFonts w:ascii="Consolas" w:hAnsi="Consolas"/>
                <w:sz w:val="18"/>
                <w:szCs w:val="18"/>
              </w:rPr>
              <w:t>f</w:t>
            </w:r>
            <w:r w:rsidRPr="00943BE6">
              <w:rPr>
                <w:rFonts w:ascii="Consolas" w:hAnsi="Consolas"/>
                <w:sz w:val="18"/>
                <w:szCs w:val="18"/>
              </w:rPr>
              <w:t xml:space="preserve">): </w:t>
            </w:r>
          </w:p>
          <w:p w14:paraId="22C9A894" w14:textId="77777777" w:rsidR="00B95747" w:rsidRPr="00943BE6" w:rsidRDefault="00B95747" w:rsidP="00B95747">
            <w:pPr>
              <w:spacing w:line="276" w:lineRule="auto"/>
              <w:ind w:firstLine="0"/>
              <w:rPr>
                <w:rFonts w:ascii="Consolas" w:hAnsi="Consolas"/>
                <w:sz w:val="18"/>
                <w:szCs w:val="18"/>
              </w:rPr>
            </w:pPr>
            <w:r w:rsidRPr="00943BE6">
              <w:rPr>
                <w:rFonts w:ascii="Consolas" w:hAnsi="Consolas"/>
                <w:sz w:val="18"/>
                <w:szCs w:val="18"/>
              </w:rPr>
              <w:tab/>
              <w:t>Initialize I = [], O = []</w:t>
            </w:r>
          </w:p>
          <w:p w14:paraId="739E00D0" w14:textId="75881C4E" w:rsidR="00F1197A" w:rsidRPr="00943BE6" w:rsidRDefault="00B95747" w:rsidP="00B95747">
            <w:pPr>
              <w:spacing w:line="276" w:lineRule="auto"/>
              <w:ind w:firstLine="0"/>
              <w:rPr>
                <w:rFonts w:ascii="Consolas" w:hAnsi="Consolas"/>
                <w:sz w:val="18"/>
                <w:szCs w:val="18"/>
              </w:rPr>
            </w:pPr>
            <w:r w:rsidRPr="00943BE6">
              <w:rPr>
                <w:rFonts w:ascii="Consolas" w:hAnsi="Consolas"/>
                <w:sz w:val="18"/>
                <w:szCs w:val="18"/>
              </w:rPr>
              <w:tab/>
              <w:t xml:space="preserve">N = </w:t>
            </w:r>
            <w:r w:rsidRPr="00943BE6">
              <w:rPr>
                <w:rStyle w:val="hljs-builtin"/>
                <w:rFonts w:ascii="Consolas" w:hAnsi="Consolas"/>
                <w:sz w:val="18"/>
                <w:szCs w:val="18"/>
              </w:rPr>
              <w:t>len</w:t>
            </w:r>
            <w:r w:rsidRPr="00943BE6">
              <w:rPr>
                <w:rFonts w:ascii="Consolas" w:hAnsi="Consolas"/>
                <w:sz w:val="18"/>
                <w:szCs w:val="18"/>
              </w:rPr>
              <w:t>(data</w:t>
            </w:r>
            <w:r w:rsidR="00320A18" w:rsidRPr="00943BE6">
              <w:rPr>
                <w:rFonts w:ascii="Consolas" w:hAnsi="Consolas"/>
                <w:sz w:val="18"/>
                <w:szCs w:val="18"/>
              </w:rPr>
              <w:t>)</w:t>
            </w:r>
          </w:p>
          <w:p w14:paraId="74307EFB" w14:textId="0F922147" w:rsidR="00B95747" w:rsidRPr="00943BE6" w:rsidRDefault="00F1197A" w:rsidP="00B95747">
            <w:pPr>
              <w:spacing w:line="276" w:lineRule="auto"/>
              <w:ind w:firstLine="0"/>
              <w:rPr>
                <w:rFonts w:ascii="Consolas" w:hAnsi="Consolas"/>
                <w:sz w:val="18"/>
                <w:szCs w:val="18"/>
              </w:rPr>
            </w:pPr>
            <w:r w:rsidRPr="00943BE6">
              <w:rPr>
                <w:rStyle w:val="hljs-keyword"/>
                <w:rFonts w:ascii="Consolas" w:hAnsi="Consolas"/>
                <w:sz w:val="18"/>
                <w:szCs w:val="18"/>
              </w:rPr>
              <w:tab/>
            </w:r>
            <w:r w:rsidR="00B95747" w:rsidRPr="00943BE6">
              <w:rPr>
                <w:rStyle w:val="hljs-keyword"/>
                <w:rFonts w:ascii="Consolas" w:hAnsi="Consolas"/>
                <w:sz w:val="18"/>
                <w:szCs w:val="18"/>
              </w:rPr>
              <w:t>for</w:t>
            </w:r>
            <w:r w:rsidR="00B95747" w:rsidRPr="00943BE6">
              <w:rPr>
                <w:rFonts w:ascii="Consolas" w:hAnsi="Consolas"/>
                <w:sz w:val="18"/>
                <w:szCs w:val="18"/>
              </w:rPr>
              <w:t xml:space="preserve"> i </w:t>
            </w:r>
            <w:r w:rsidR="00B95747" w:rsidRPr="00943BE6">
              <w:rPr>
                <w:rStyle w:val="hljs-keyword"/>
                <w:rFonts w:ascii="Consolas" w:hAnsi="Consolas"/>
                <w:sz w:val="18"/>
                <w:szCs w:val="18"/>
              </w:rPr>
              <w:t>in</w:t>
            </w:r>
            <w:r w:rsidR="00B95747" w:rsidRPr="00943BE6">
              <w:rPr>
                <w:rFonts w:ascii="Consolas" w:hAnsi="Consolas"/>
                <w:sz w:val="18"/>
                <w:szCs w:val="18"/>
              </w:rPr>
              <w:t xml:space="preserve"> </w:t>
            </w:r>
            <w:r w:rsidR="00B95747" w:rsidRPr="00943BE6">
              <w:rPr>
                <w:rStyle w:val="hljs-builtin"/>
                <w:rFonts w:ascii="Consolas" w:hAnsi="Consolas"/>
                <w:sz w:val="18"/>
                <w:szCs w:val="18"/>
              </w:rPr>
              <w:t>range</w:t>
            </w:r>
            <w:r w:rsidR="00B95747" w:rsidRPr="00943BE6">
              <w:rPr>
                <w:rFonts w:ascii="Consolas" w:hAnsi="Consolas"/>
                <w:sz w:val="18"/>
                <w:szCs w:val="18"/>
              </w:rPr>
              <w:t xml:space="preserve">(N - l - </w:t>
            </w:r>
            <w:r w:rsidRPr="00943BE6">
              <w:rPr>
                <w:rFonts w:ascii="Consolas" w:hAnsi="Consolas"/>
                <w:sz w:val="18"/>
                <w:szCs w:val="18"/>
              </w:rPr>
              <w:t>f</w:t>
            </w:r>
            <w:r w:rsidR="00B95747" w:rsidRPr="00943BE6">
              <w:rPr>
                <w:rFonts w:ascii="Consolas" w:hAnsi="Consolas"/>
                <w:sz w:val="18"/>
                <w:szCs w:val="18"/>
              </w:rPr>
              <w:t xml:space="preserve"> + </w:t>
            </w:r>
            <w:r w:rsidR="00B95747" w:rsidRPr="00943BE6">
              <w:rPr>
                <w:rStyle w:val="hljs-number"/>
                <w:rFonts w:ascii="Consolas" w:hAnsi="Consolas"/>
                <w:sz w:val="18"/>
                <w:szCs w:val="18"/>
              </w:rPr>
              <w:t>1</w:t>
            </w:r>
            <w:r w:rsidR="00B95747" w:rsidRPr="00943BE6">
              <w:rPr>
                <w:rFonts w:ascii="Consolas" w:hAnsi="Consolas"/>
                <w:sz w:val="18"/>
                <w:szCs w:val="18"/>
              </w:rPr>
              <w:t xml:space="preserve">): </w:t>
            </w:r>
          </w:p>
          <w:p w14:paraId="5223AAEE" w14:textId="77777777" w:rsidR="00B95747" w:rsidRPr="00943BE6" w:rsidRDefault="00B95747" w:rsidP="00320A18">
            <w:pPr>
              <w:spacing w:line="276" w:lineRule="auto"/>
              <w:ind w:left="720" w:firstLine="0"/>
              <w:rPr>
                <w:rFonts w:ascii="Consolas" w:hAnsi="Consolas"/>
                <w:sz w:val="18"/>
                <w:szCs w:val="18"/>
              </w:rPr>
            </w:pPr>
            <w:r w:rsidRPr="00943BE6">
              <w:rPr>
                <w:rFonts w:ascii="Consolas" w:hAnsi="Consolas"/>
                <w:sz w:val="18"/>
                <w:szCs w:val="18"/>
              </w:rPr>
              <w:lastRenderedPageBreak/>
              <w:tab/>
              <w:t xml:space="preserve">i_t = data[i : i + l, :] </w:t>
            </w:r>
          </w:p>
          <w:p w14:paraId="40A8CB85" w14:textId="093C9E0D" w:rsidR="00B95747" w:rsidRPr="00943BE6" w:rsidRDefault="00B95747" w:rsidP="00320A18">
            <w:pPr>
              <w:spacing w:line="276" w:lineRule="auto"/>
              <w:ind w:left="720" w:firstLine="0"/>
              <w:rPr>
                <w:rFonts w:ascii="Consolas" w:hAnsi="Consolas"/>
                <w:sz w:val="18"/>
                <w:szCs w:val="18"/>
              </w:rPr>
            </w:pPr>
            <w:r w:rsidRPr="00943BE6">
              <w:rPr>
                <w:rFonts w:ascii="Consolas" w:hAnsi="Consolas"/>
                <w:sz w:val="18"/>
                <w:szCs w:val="18"/>
              </w:rPr>
              <w:tab/>
              <w:t xml:space="preserve">o_t = data[i + l : i + l + </w:t>
            </w:r>
            <w:r w:rsidR="00320A18" w:rsidRPr="00943BE6">
              <w:rPr>
                <w:rFonts w:ascii="Consolas" w:hAnsi="Consolas"/>
                <w:sz w:val="18"/>
                <w:szCs w:val="18"/>
              </w:rPr>
              <w:t>f</w:t>
            </w:r>
            <w:r w:rsidRPr="00943BE6">
              <w:rPr>
                <w:rFonts w:ascii="Consolas" w:hAnsi="Consolas"/>
                <w:sz w:val="18"/>
                <w:szCs w:val="18"/>
              </w:rPr>
              <w:t xml:space="preserve">, target_feature_index] </w:t>
            </w:r>
          </w:p>
          <w:p w14:paraId="66F4162C" w14:textId="2EDDCAEA" w:rsidR="00B95747" w:rsidRPr="00943BE6" w:rsidRDefault="00B95747" w:rsidP="00320A18">
            <w:pPr>
              <w:spacing w:line="276" w:lineRule="auto"/>
              <w:ind w:left="720" w:firstLine="0"/>
              <w:rPr>
                <w:rFonts w:ascii="Consolas" w:hAnsi="Consolas"/>
                <w:sz w:val="18"/>
                <w:szCs w:val="18"/>
              </w:rPr>
            </w:pPr>
            <w:r w:rsidRPr="00943BE6">
              <w:rPr>
                <w:rFonts w:ascii="Consolas" w:hAnsi="Consolas"/>
                <w:sz w:val="18"/>
                <w:szCs w:val="18"/>
              </w:rPr>
              <w:tab/>
              <w:t>Append i_t to I</w:t>
            </w:r>
          </w:p>
          <w:p w14:paraId="76318530" w14:textId="77777777" w:rsidR="00B95747" w:rsidRPr="00943BE6" w:rsidRDefault="00B95747" w:rsidP="00320A18">
            <w:pPr>
              <w:spacing w:line="276" w:lineRule="auto"/>
              <w:ind w:left="720" w:firstLine="0"/>
              <w:rPr>
                <w:rFonts w:ascii="Consolas" w:hAnsi="Consolas"/>
                <w:sz w:val="18"/>
                <w:szCs w:val="18"/>
              </w:rPr>
            </w:pPr>
            <w:r w:rsidRPr="00943BE6">
              <w:rPr>
                <w:rFonts w:ascii="Consolas" w:hAnsi="Consolas"/>
                <w:sz w:val="18"/>
                <w:szCs w:val="18"/>
              </w:rPr>
              <w:tab/>
              <w:t>Append o_t to O</w:t>
            </w:r>
          </w:p>
          <w:p w14:paraId="7630D795" w14:textId="0F4571F5" w:rsidR="00B95747" w:rsidRPr="00943BE6" w:rsidRDefault="00B95747" w:rsidP="00B95747">
            <w:pPr>
              <w:spacing w:line="276" w:lineRule="auto"/>
              <w:ind w:firstLine="0"/>
              <w:rPr>
                <w:rFonts w:ascii="Consolas" w:hAnsi="Consolas"/>
                <w:sz w:val="18"/>
                <w:szCs w:val="18"/>
              </w:rPr>
            </w:pPr>
            <w:r w:rsidRPr="00943BE6">
              <w:rPr>
                <w:rStyle w:val="hljs-keyword"/>
                <w:rFonts w:ascii="Consolas" w:hAnsi="Consolas"/>
                <w:sz w:val="18"/>
                <w:szCs w:val="18"/>
              </w:rPr>
              <w:t>return</w:t>
            </w:r>
            <w:r w:rsidRPr="00943BE6">
              <w:rPr>
                <w:rFonts w:ascii="Consolas" w:hAnsi="Consolas"/>
                <w:sz w:val="18"/>
                <w:szCs w:val="18"/>
              </w:rPr>
              <w:t xml:space="preserve"> I, O</w:t>
            </w:r>
          </w:p>
        </w:tc>
      </w:tr>
    </w:tbl>
    <w:p w14:paraId="0ED26CAF" w14:textId="2F196991" w:rsidR="00DA130A" w:rsidRPr="00943BE6" w:rsidRDefault="007C24D8" w:rsidP="009E4B93">
      <w:pPr>
        <w:pStyle w:val="heading2"/>
        <w:spacing w:before="120" w:after="120" w:line="360" w:lineRule="auto"/>
        <w:rPr>
          <w:rFonts w:ascii="Palatino Linotype" w:hAnsi="Palatino Linotype"/>
          <w:bCs/>
          <w:color w:val="000000" w:themeColor="text1"/>
        </w:rPr>
      </w:pPr>
      <w:bookmarkStart w:id="2" w:name="_Ref232256023"/>
      <w:r w:rsidRPr="00943BE6">
        <w:rPr>
          <w:rFonts w:ascii="Palatino Linotype" w:hAnsi="Palatino Linotype"/>
          <w:bCs/>
          <w:color w:val="000000" w:themeColor="text1"/>
        </w:rPr>
        <w:lastRenderedPageBreak/>
        <w:t xml:space="preserve">Architecture of the </w:t>
      </w:r>
      <w:r w:rsidR="00BA2757" w:rsidRPr="00943BE6">
        <w:rPr>
          <w:rFonts w:ascii="Palatino Linotype" w:hAnsi="Palatino Linotype"/>
          <w:bCs/>
          <w:color w:val="000000" w:themeColor="text1"/>
        </w:rPr>
        <w:t>Gated Recurrent Unit Net</w:t>
      </w:r>
      <w:r w:rsidR="00104028" w:rsidRPr="00943BE6">
        <w:rPr>
          <w:rFonts w:ascii="Palatino Linotype" w:hAnsi="Palatino Linotype"/>
          <w:bCs/>
          <w:color w:val="000000" w:themeColor="text1"/>
        </w:rPr>
        <w:t>works</w:t>
      </w:r>
      <w:bookmarkEnd w:id="2"/>
    </w:p>
    <w:p w14:paraId="1F5FF958" w14:textId="16B93FAB" w:rsidR="00992E10" w:rsidRPr="00943BE6" w:rsidRDefault="00992E10" w:rsidP="001C7C89">
      <w:pPr>
        <w:spacing w:before="120" w:after="120" w:line="360" w:lineRule="auto"/>
        <w:ind w:firstLine="0"/>
        <w:rPr>
          <w:rFonts w:ascii="Palatino Linotype" w:hAnsi="Palatino Linotype"/>
        </w:rPr>
      </w:pPr>
      <w:r w:rsidRPr="00943BE6">
        <w:rPr>
          <w:rFonts w:ascii="Palatino Linotype" w:hAnsi="Palatino Linotype"/>
        </w:rPr>
        <w:t xml:space="preserve">The proposed framework uses a Gated Recurrent Unit (GRU) network to model temporal dependencies in Bitcoin price data for multi-step forecasting. As a </w:t>
      </w:r>
      <w:r w:rsidR="00FF5757" w:rsidRPr="00943BE6">
        <w:rPr>
          <w:rFonts w:ascii="Palatino Linotype" w:hAnsi="Palatino Linotype"/>
        </w:rPr>
        <w:t>streamlined</w:t>
      </w:r>
      <w:r w:rsidRPr="00943BE6">
        <w:rPr>
          <w:rFonts w:ascii="Palatino Linotype" w:hAnsi="Palatino Linotype"/>
        </w:rPr>
        <w:t xml:space="preserve"> alternative to LSTM, the GRU employs update and reset gates to efficiently capture long-term dependencies in volatile cryptocurrency time series. The model includes two stacked GRU layers (128 units each), each followed by a dropout layer (rate 0.2) to prevent overfitting, and a dense layer for forecasting future prices. The GRU architecture is shown in </w:t>
      </w:r>
      <w:r w:rsidR="002C7C73" w:rsidRPr="00943BE6">
        <w:rPr>
          <w:rFonts w:ascii="Palatino Linotype" w:hAnsi="Palatino Linotype"/>
        </w:rPr>
        <w:fldChar w:fldCharType="begin"/>
      </w:r>
      <w:r w:rsidR="002C7C73" w:rsidRPr="00943BE6">
        <w:rPr>
          <w:rFonts w:ascii="Palatino Linotype" w:hAnsi="Palatino Linotype"/>
        </w:rPr>
        <w:instrText xml:space="preserve"> REF _Ref203124164 \h  \* MERGEFORMAT </w:instrText>
      </w:r>
      <w:r w:rsidR="002C7C73" w:rsidRPr="00943BE6">
        <w:rPr>
          <w:rFonts w:ascii="Palatino Linotype" w:hAnsi="Palatino Linotype"/>
        </w:rPr>
      </w:r>
      <w:r w:rsidR="002C7C73" w:rsidRPr="00943BE6">
        <w:rPr>
          <w:rFonts w:ascii="Palatino Linotype" w:hAnsi="Palatino Linotype"/>
        </w:rPr>
        <w:fldChar w:fldCharType="separate"/>
      </w:r>
      <w:r w:rsidR="0085441D" w:rsidRPr="00943BE6">
        <w:rPr>
          <w:rFonts w:ascii="Palatino Linotype" w:hAnsi="Palatino Linotype"/>
        </w:rPr>
        <w:t xml:space="preserve">Fig. </w:t>
      </w:r>
      <w:r w:rsidR="0085441D" w:rsidRPr="00943BE6">
        <w:rPr>
          <w:rFonts w:ascii="Palatino Linotype" w:hAnsi="Palatino Linotype"/>
          <w:noProof/>
        </w:rPr>
        <w:t>1</w:t>
      </w:r>
      <w:r w:rsidR="002C7C73" w:rsidRPr="00943BE6">
        <w:rPr>
          <w:rFonts w:ascii="Palatino Linotype" w:hAnsi="Palatino Linotype"/>
        </w:rPr>
        <w:fldChar w:fldCharType="end"/>
      </w:r>
      <w:r w:rsidRPr="00943BE6">
        <w:rPr>
          <w:rFonts w:ascii="Palatino Linotype" w:hAnsi="Palatino Linotype"/>
        </w:rPr>
        <w:t>.</w:t>
      </w:r>
    </w:p>
    <w:p w14:paraId="31A277A2" w14:textId="77777777" w:rsidR="00992E10" w:rsidRPr="00943BE6" w:rsidRDefault="00992E10" w:rsidP="00992E10">
      <w:pPr>
        <w:keepNext/>
        <w:spacing w:before="120" w:after="120" w:line="360" w:lineRule="auto"/>
        <w:ind w:firstLine="0"/>
        <w:jc w:val="center"/>
        <w:rPr>
          <w:rFonts w:ascii="Palatino Linotype" w:hAnsi="Palatino Linotype"/>
        </w:rPr>
      </w:pPr>
      <w:r w:rsidRPr="00943BE6">
        <w:rPr>
          <w:rFonts w:ascii="Palatino Linotype" w:hAnsi="Palatino Linotype"/>
          <w:noProof/>
        </w:rPr>
        <w:drawing>
          <wp:inline distT="0" distB="0" distL="0" distR="0" wp14:anchorId="3C2E826C" wp14:editId="53D684FB">
            <wp:extent cx="3498989" cy="26435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8">
                      <a:extLst>
                        <a:ext uri="{28A0092B-C50C-407E-A947-70E740481C1C}">
                          <a14:useLocalDpi xmlns:a14="http://schemas.microsoft.com/office/drawing/2010/main" val="0"/>
                        </a:ext>
                      </a:extLst>
                    </a:blip>
                    <a:stretch>
                      <a:fillRect/>
                    </a:stretch>
                  </pic:blipFill>
                  <pic:spPr>
                    <a:xfrm>
                      <a:off x="0" y="0"/>
                      <a:ext cx="3513420" cy="2654412"/>
                    </a:xfrm>
                    <a:prstGeom prst="rect">
                      <a:avLst/>
                    </a:prstGeom>
                  </pic:spPr>
                </pic:pic>
              </a:graphicData>
            </a:graphic>
          </wp:inline>
        </w:drawing>
      </w:r>
    </w:p>
    <w:p w14:paraId="0FD13A4E" w14:textId="1EB036EB" w:rsidR="00992E10" w:rsidRPr="00943BE6" w:rsidRDefault="00992E10" w:rsidP="00992E10">
      <w:pPr>
        <w:pStyle w:val="Caption"/>
        <w:rPr>
          <w:i w:val="0"/>
          <w:iCs/>
          <w:sz w:val="18"/>
        </w:rPr>
      </w:pPr>
      <w:bookmarkStart w:id="3" w:name="_Ref203124164"/>
      <w:r w:rsidRPr="00943BE6">
        <w:rPr>
          <w:b/>
          <w:bCs w:val="0"/>
          <w:i w:val="0"/>
          <w:iCs/>
          <w:sz w:val="18"/>
        </w:rPr>
        <w:t>Fig</w:t>
      </w:r>
      <w:r w:rsidR="002C7C73" w:rsidRPr="00943BE6">
        <w:rPr>
          <w:b/>
          <w:bCs w:val="0"/>
          <w:i w:val="0"/>
          <w:iCs/>
          <w:sz w:val="18"/>
        </w:rPr>
        <w:t>.</w:t>
      </w:r>
      <w:r w:rsidRPr="00943BE6">
        <w:rPr>
          <w:b/>
          <w:bCs w:val="0"/>
          <w:i w:val="0"/>
          <w:iCs/>
          <w:sz w:val="18"/>
        </w:rPr>
        <w:t xml:space="preserve"> </w:t>
      </w:r>
      <w:r w:rsidR="00AB6D38" w:rsidRPr="00943BE6">
        <w:rPr>
          <w:b/>
          <w:bCs w:val="0"/>
          <w:i w:val="0"/>
          <w:iCs/>
          <w:sz w:val="18"/>
        </w:rPr>
        <w:fldChar w:fldCharType="begin"/>
      </w:r>
      <w:r w:rsidR="00AB6D38" w:rsidRPr="00943BE6">
        <w:rPr>
          <w:b/>
          <w:bCs w:val="0"/>
          <w:i w:val="0"/>
          <w:iCs/>
          <w:sz w:val="18"/>
        </w:rPr>
        <w:instrText xml:space="preserve"> SEQ Figure \* ARABIC </w:instrText>
      </w:r>
      <w:r w:rsidR="00AB6D38" w:rsidRPr="00943BE6">
        <w:rPr>
          <w:b/>
          <w:bCs w:val="0"/>
          <w:i w:val="0"/>
          <w:iCs/>
          <w:sz w:val="18"/>
        </w:rPr>
        <w:fldChar w:fldCharType="separate"/>
      </w:r>
      <w:r w:rsidR="0085441D" w:rsidRPr="00943BE6">
        <w:rPr>
          <w:b/>
          <w:bCs w:val="0"/>
          <w:i w:val="0"/>
          <w:iCs/>
          <w:noProof/>
          <w:sz w:val="18"/>
        </w:rPr>
        <w:t>1</w:t>
      </w:r>
      <w:r w:rsidR="00AB6D38" w:rsidRPr="00943BE6">
        <w:rPr>
          <w:b/>
          <w:bCs w:val="0"/>
          <w:i w:val="0"/>
          <w:iCs/>
          <w:sz w:val="18"/>
        </w:rPr>
        <w:fldChar w:fldCharType="end"/>
      </w:r>
      <w:bookmarkEnd w:id="3"/>
      <w:r w:rsidRPr="00943BE6">
        <w:rPr>
          <w:b/>
          <w:bCs w:val="0"/>
          <w:i w:val="0"/>
          <w:iCs/>
          <w:sz w:val="18"/>
        </w:rPr>
        <w:t xml:space="preserve">. </w:t>
      </w:r>
      <w:r w:rsidRPr="00943BE6">
        <w:rPr>
          <w:i w:val="0"/>
          <w:iCs/>
          <w:sz w:val="18"/>
        </w:rPr>
        <w:t xml:space="preserve">The internal architecture of </w:t>
      </w:r>
      <w:r w:rsidR="0084112E" w:rsidRPr="00943BE6">
        <w:rPr>
          <w:i w:val="0"/>
          <w:iCs/>
          <w:sz w:val="18"/>
        </w:rPr>
        <w:t>a</w:t>
      </w:r>
      <w:r w:rsidRPr="00943BE6">
        <w:rPr>
          <w:i w:val="0"/>
          <w:iCs/>
          <w:sz w:val="18"/>
        </w:rPr>
        <w:t xml:space="preserve"> GRU unit</w:t>
      </w:r>
    </w:p>
    <w:p w14:paraId="37726548" w14:textId="0AD179D3" w:rsidR="00D00509" w:rsidRPr="00943BE6" w:rsidRDefault="00992E10" w:rsidP="00992E10">
      <w:pPr>
        <w:spacing w:before="120" w:after="120" w:line="360" w:lineRule="auto"/>
        <w:ind w:firstLine="587"/>
        <w:rPr>
          <w:rFonts w:ascii="Palatino Linotype" w:hAnsi="Palatino Linotype"/>
        </w:rPr>
      </w:pPr>
      <w:r w:rsidRPr="00943BE6">
        <w:rPr>
          <w:rFonts w:ascii="Palatino Linotype" w:hAnsi="Palatino Linotype"/>
        </w:rPr>
        <w:t xml:space="preserve">Each GRU cell uses sigmoid (σ) and hyperbolic tangent (tanh) activations to manage information flow via two gates. </w:t>
      </w:r>
      <w:r w:rsidR="00D00509" w:rsidRPr="00943BE6">
        <w:rPr>
          <w:rFonts w:ascii="Palatino Linotype" w:hAnsi="Palatino Linotype"/>
        </w:rPr>
        <w:t xml:space="preserve">The below formulations follow Cho et al. </w:t>
      </w:r>
      <w:r w:rsidR="00C404D3" w:rsidRPr="00943BE6">
        <w:rPr>
          <w:rFonts w:ascii="Palatino Linotype" w:hAnsi="Palatino Linotype"/>
        </w:rPr>
        <w:fldChar w:fldCharType="begin"/>
      </w:r>
      <w:r w:rsidR="00C404D3" w:rsidRPr="00943BE6">
        <w:rPr>
          <w:rFonts w:ascii="Palatino Linotype" w:hAnsi="Palatino Linotype"/>
        </w:rPr>
        <w:instrText xml:space="preserve"> ADDIN ZOTERO_ITEM CSL_CITATION {"citationID":"rJnioNi5","properties":{"formattedCitation":"[14]","plainCitation":"[14]","noteIndex":0},"citationItems":[{"id":"6m13q9SM/XGa9citn","uris":["http://zotero.org/users/16775479/items/J9TU38AS"],"itemData":{"id":325,"type":"article","abstract":"In this paper, we propose a novel neural network model called RNN Encoder-Decoder that consists of two recurrent neural networks (RNN). One RNN encodes a sequence of symbols into a fixed-length vector representation, and the other decodes the representation into another sequence of symbols. The encoder and decoder of the proposed model are jointly trained to maximize the conditional probability of a target sequence given a source sequence. The performance of a statistical machine translation system is empirically found to improve by using the conditional probabilities of phrase pairs computed by the RNN Encoder-Decoder as an additional feature in the existing log-linear model. Qualitatively, we show that the proposed model learns a semantically and syntactically meaningful representation of linguistic phrases.","DOI":"10.48550/arXiv.1406.1078","note":"arXiv:1406.1078 [cs]","number":"arXiv:1406.1078","publisher":"arXiv","source":"arXiv.org","title":"Learning Phrase Representations using RNN Encoder-Decoder for Statistical Machine Translation","URL":"http://arxiv.org/abs/1406.1078","author":[{"family":"Cho","given":"Kyunghyun"},{"family":"Merrienboer","given":"Bart","dropping-particle":"van"},{"family":"Gulcehre","given":"Caglar"},{"family":"Bahdanau","given":"Dzmitry"},{"family":"Bougares","given":"Fethi"},{"family":"Schwenk","given":"Holger"},{"family":"Bengio","given":"Yoshua"}],"accessed":{"date-parts":[["2025",7,22]]},"issued":{"date-parts":[["2014",9,3]]}}}],"schema":"https://github.com/citation-style-language/schema/raw/master/csl-citation.json"} </w:instrText>
      </w:r>
      <w:r w:rsidR="00C404D3" w:rsidRPr="00943BE6">
        <w:rPr>
          <w:rFonts w:ascii="Palatino Linotype" w:hAnsi="Palatino Linotype"/>
        </w:rPr>
        <w:fldChar w:fldCharType="separate"/>
      </w:r>
      <w:r w:rsidR="00C404D3" w:rsidRPr="00943BE6">
        <w:rPr>
          <w:rFonts w:ascii="Palatino Linotype" w:hAnsi="Palatino Linotype"/>
        </w:rPr>
        <w:t>[14]</w:t>
      </w:r>
      <w:r w:rsidR="00C404D3" w:rsidRPr="00943BE6">
        <w:rPr>
          <w:rFonts w:ascii="Palatino Linotype" w:hAnsi="Palatino Linotype"/>
        </w:rPr>
        <w:fldChar w:fldCharType="end"/>
      </w:r>
      <w:r w:rsidR="00D00509" w:rsidRPr="00943BE6">
        <w:rPr>
          <w:rFonts w:ascii="Palatino Linotype" w:hAnsi="Palatino Linotype"/>
        </w:rPr>
        <w:t>.</w:t>
      </w:r>
    </w:p>
    <w:p w14:paraId="6AEF853B" w14:textId="72E788A7" w:rsidR="00992E10" w:rsidRPr="00943BE6" w:rsidRDefault="00992E10" w:rsidP="00992E10">
      <w:pPr>
        <w:spacing w:before="120" w:after="120" w:line="360" w:lineRule="auto"/>
        <w:ind w:firstLine="587"/>
        <w:rPr>
          <w:rFonts w:ascii="Palatino Linotype" w:hAnsi="Palatino Linotype"/>
        </w:rPr>
      </w:pPr>
      <w:r w:rsidRPr="00943BE6">
        <w:rPr>
          <w:rFonts w:ascii="Palatino Linotype" w:hAnsi="Palatino Linotype"/>
        </w:rPr>
        <w:t>At time step t, the computations are:</w:t>
      </w:r>
    </w:p>
    <w:p w14:paraId="01D71742" w14:textId="007CE39F" w:rsidR="00992E10" w:rsidRPr="00943BE6" w:rsidRDefault="00992E10" w:rsidP="00992E10">
      <w:pPr>
        <w:numPr>
          <w:ilvl w:val="0"/>
          <w:numId w:val="13"/>
        </w:numPr>
        <w:spacing w:before="120" w:after="120" w:line="360" w:lineRule="auto"/>
        <w:rPr>
          <w:rFonts w:ascii="Palatino Linotype" w:hAnsi="Palatino Linotype"/>
        </w:rPr>
      </w:pPr>
      <w:r w:rsidRPr="00943BE6">
        <w:rPr>
          <w:rFonts w:ascii="Palatino Linotype" w:hAnsi="Palatino Linotype"/>
        </w:rPr>
        <w:t>Update gate determines the balance between retaining the previous state and incorporating new information in Equation</w:t>
      </w:r>
      <w:r w:rsidR="00F63FCB" w:rsidRPr="00943BE6">
        <w:rPr>
          <w:rFonts w:ascii="Palatino Linotype" w:hAnsi="Palatino Linotype"/>
        </w:rPr>
        <w:t xml:space="preserve"> </w:t>
      </w:r>
      <w:r w:rsidR="008850C8" w:rsidRPr="00943BE6">
        <w:rPr>
          <w:rFonts w:ascii="Palatino Linotype" w:hAnsi="Palatino Linotype"/>
        </w:rPr>
        <w:fldChar w:fldCharType="begin"/>
      </w:r>
      <w:r w:rsidR="008850C8" w:rsidRPr="00943BE6">
        <w:rPr>
          <w:rFonts w:ascii="Palatino Linotype" w:hAnsi="Palatino Linotype"/>
        </w:rPr>
        <w:instrText xml:space="preserve"> REF _Ref204253507 \h </w:instrText>
      </w:r>
      <w:r w:rsidR="00B42895" w:rsidRPr="00943BE6">
        <w:rPr>
          <w:rFonts w:ascii="Palatino Linotype" w:hAnsi="Palatino Linotype"/>
        </w:rPr>
        <w:instrText xml:space="preserve"> \* MERGEFORMAT </w:instrText>
      </w:r>
      <w:r w:rsidR="008850C8" w:rsidRPr="00943BE6">
        <w:rPr>
          <w:rFonts w:ascii="Palatino Linotype" w:hAnsi="Palatino Linotype"/>
        </w:rPr>
      </w:r>
      <w:r w:rsidR="008850C8" w:rsidRPr="00943BE6">
        <w:rPr>
          <w:rFonts w:ascii="Palatino Linotype" w:hAnsi="Palatino Linotype"/>
        </w:rPr>
        <w:fldChar w:fldCharType="separate"/>
      </w:r>
      <w:r w:rsidR="0085441D" w:rsidRPr="00943BE6">
        <w:rPr>
          <w:rFonts w:ascii="Palatino Linotype" w:hAnsi="Palatino Linotype"/>
          <w:bCs/>
          <w:iCs/>
        </w:rPr>
        <w:t>(</w:t>
      </w:r>
      <w:r w:rsidR="0085441D" w:rsidRPr="00943BE6">
        <w:rPr>
          <w:rFonts w:ascii="Palatino Linotype" w:hAnsi="Palatino Linotype"/>
          <w:noProof/>
        </w:rPr>
        <w:t>1</w:t>
      </w:r>
      <w:r w:rsidR="008850C8" w:rsidRPr="00943BE6">
        <w:rPr>
          <w:rFonts w:ascii="Palatino Linotype" w:hAnsi="Palatino Linotype"/>
        </w:rPr>
        <w:fldChar w:fldCharType="end"/>
      </w:r>
      <w:r w:rsidR="008850C8" w:rsidRPr="00943BE6">
        <w:rPr>
          <w:rFonts w:ascii="Palatino Linotype" w:hAnsi="Palatino Linotype"/>
        </w:rPr>
        <w:t>)</w:t>
      </w:r>
      <w:r w:rsidRPr="00943BE6">
        <w:rPr>
          <w:rFonts w:ascii="Palatino Linotype" w:hAnsi="Palatino Linotype"/>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1346"/>
      </w:tblGrid>
      <w:tr w:rsidR="00992E10" w:rsidRPr="00943BE6" w14:paraId="6531ABAA" w14:textId="77777777" w:rsidTr="00A50F0B">
        <w:tc>
          <w:tcPr>
            <w:tcW w:w="8010" w:type="dxa"/>
          </w:tcPr>
          <w:bookmarkStart w:id="4" w:name="_Hlk218235208"/>
          <w:p w14:paraId="33A3E4F7" w14:textId="4C68FD3F" w:rsidR="00992E10" w:rsidRPr="00943BE6" w:rsidRDefault="00000000" w:rsidP="00992E10">
            <w:pPr>
              <w:spacing w:before="120" w:after="120" w:line="360" w:lineRule="auto"/>
              <w:ind w:firstLine="0"/>
              <w:rPr>
                <w:rFonts w:ascii="Palatino Linotype" w:hAnsi="Palatino Linotype"/>
              </w:rPr>
            </w:pPr>
            <m:oMathPara>
              <m:oMath>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=σ (</m:t>
                </m:r>
                <m:sSub>
                  <m:sSubPr>
                    <m:ctrlPr>
                      <w:rPr>
                        <w:rFonts w:ascii="Cambria Math" w:hAnsi="Cambria Math"/>
                        <w:i/>
                      </w:rPr>
                    </m:ctrlPr>
                  </m:sSubPr>
                  <m:e>
                    <m:r>
                      <w:rPr>
                        <w:rFonts w:ascii="Cambria Math" w:hAnsi="Cambria Math"/>
                      </w:rPr>
                      <m:t>W</m:t>
                    </m:r>
                  </m:e>
                  <m:sub>
                    <m:r>
                      <w:rPr>
                        <w:rFonts w:ascii="Cambria Math" w:hAnsi="Cambria Math"/>
                      </w:rPr>
                      <m:t>z</m:t>
                    </m:r>
                  </m:sub>
                </m:sSub>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z</m:t>
                    </m:r>
                  </m:sub>
                </m:sSub>
                <m:sSub>
                  <m:sSubPr>
                    <m:ctrlPr>
                      <w:rPr>
                        <w:rFonts w:ascii="Cambria Math" w:hAnsi="Cambria Math"/>
                        <w:i/>
                      </w:rPr>
                    </m:ctrlPr>
                  </m:sSubPr>
                  <m:e>
                    <m:r>
                      <w:rPr>
                        <w:rFonts w:ascii="Cambria Math" w:hAnsi="Cambria Math"/>
                      </w:rPr>
                      <m:t>h</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z</m:t>
                    </m:r>
                  </m:sub>
                </m:sSub>
                <m:r>
                  <w:rPr>
                    <w:rFonts w:ascii="Cambria Math" w:hAnsi="Cambria Math"/>
                  </w:rPr>
                  <m:t>)</m:t>
                </m:r>
              </m:oMath>
            </m:oMathPara>
          </w:p>
        </w:tc>
        <w:tc>
          <w:tcPr>
            <w:tcW w:w="1346" w:type="dxa"/>
            <w:vAlign w:val="center"/>
          </w:tcPr>
          <w:p w14:paraId="3193B518" w14:textId="5622C507" w:rsidR="00992E10" w:rsidRPr="00943BE6" w:rsidRDefault="00992E10" w:rsidP="00992E10">
            <w:pPr>
              <w:keepNext/>
              <w:spacing w:before="120" w:after="120" w:line="360" w:lineRule="auto"/>
              <w:ind w:firstLine="0"/>
              <w:jc w:val="right"/>
              <w:rPr>
                <w:rFonts w:ascii="Palatino Linotype" w:hAnsi="Palatino Linotype"/>
              </w:rPr>
            </w:pPr>
            <w:bookmarkStart w:id="5" w:name="_Ref202121660"/>
            <w:bookmarkStart w:id="6" w:name="_Ref204253507"/>
            <w:r w:rsidRPr="00943BE6">
              <w:rPr>
                <w:rFonts w:ascii="Palatino Linotype" w:hAnsi="Palatino Linotype"/>
                <w:bCs/>
                <w:iCs/>
              </w:rPr>
              <w:t>(</w:t>
            </w:r>
            <w:bookmarkEnd w:id="5"/>
            <w:r w:rsidRPr="00943BE6">
              <w:rPr>
                <w:rFonts w:ascii="Palatino Linotype" w:hAnsi="Palatino Linotype"/>
              </w:rPr>
              <w:fldChar w:fldCharType="begin"/>
            </w:r>
            <w:r w:rsidRPr="00943BE6">
              <w:rPr>
                <w:rFonts w:ascii="Palatino Linotype" w:hAnsi="Palatino Linotype"/>
              </w:rPr>
              <w:instrText xml:space="preserve"> SEQ Equation \* ARABIC </w:instrText>
            </w:r>
            <w:r w:rsidRPr="00943BE6">
              <w:rPr>
                <w:rFonts w:ascii="Palatino Linotype" w:hAnsi="Palatino Linotype"/>
              </w:rPr>
              <w:fldChar w:fldCharType="separate"/>
            </w:r>
            <w:r w:rsidR="0085441D" w:rsidRPr="00943BE6">
              <w:rPr>
                <w:rFonts w:ascii="Palatino Linotype" w:hAnsi="Palatino Linotype"/>
                <w:noProof/>
              </w:rPr>
              <w:t>1</w:t>
            </w:r>
            <w:r w:rsidRPr="00943BE6">
              <w:rPr>
                <w:rFonts w:ascii="Palatino Linotype" w:hAnsi="Palatino Linotype"/>
              </w:rPr>
              <w:fldChar w:fldCharType="end"/>
            </w:r>
            <w:bookmarkEnd w:id="6"/>
            <w:r w:rsidRPr="00943BE6">
              <w:rPr>
                <w:rFonts w:ascii="Palatino Linotype" w:hAnsi="Palatino Linotype"/>
                <w:bCs/>
                <w:iCs/>
              </w:rPr>
              <w:t>)</w:t>
            </w:r>
          </w:p>
        </w:tc>
      </w:tr>
    </w:tbl>
    <w:bookmarkEnd w:id="4"/>
    <w:p w14:paraId="3D93796A" w14:textId="2D417919" w:rsidR="00992E10" w:rsidRPr="00943BE6" w:rsidRDefault="00992E10" w:rsidP="00992E10">
      <w:pPr>
        <w:numPr>
          <w:ilvl w:val="0"/>
          <w:numId w:val="13"/>
        </w:numPr>
        <w:spacing w:before="120" w:after="120" w:line="360" w:lineRule="auto"/>
        <w:rPr>
          <w:rFonts w:ascii="Palatino Linotype" w:hAnsi="Palatino Linotype"/>
        </w:rPr>
      </w:pPr>
      <w:r w:rsidRPr="00943BE6">
        <w:rPr>
          <w:rFonts w:ascii="Palatino Linotype" w:hAnsi="Palatino Linotype"/>
        </w:rPr>
        <w:t xml:space="preserve">Reset gate controls the influence of the previous state on the candidate state in Equation </w:t>
      </w:r>
      <w:r w:rsidRPr="00943BE6">
        <w:rPr>
          <w:rFonts w:ascii="Palatino Linotype" w:hAnsi="Palatino Linotype"/>
        </w:rPr>
        <w:fldChar w:fldCharType="begin"/>
      </w:r>
      <w:r w:rsidRPr="00943BE6">
        <w:rPr>
          <w:rFonts w:ascii="Palatino Linotype" w:hAnsi="Palatino Linotype"/>
        </w:rPr>
        <w:instrText xml:space="preserve"> REF _Ref202121675 \h  \* MERGEFORMAT </w:instrText>
      </w:r>
      <w:r w:rsidRPr="00943BE6">
        <w:rPr>
          <w:rFonts w:ascii="Palatino Linotype" w:hAnsi="Palatino Linotype"/>
        </w:rPr>
      </w:r>
      <w:r w:rsidRPr="00943BE6">
        <w:rPr>
          <w:rFonts w:ascii="Palatino Linotype" w:hAnsi="Palatino Linotype"/>
        </w:rPr>
        <w:fldChar w:fldCharType="separate"/>
      </w:r>
      <w:r w:rsidR="0085441D" w:rsidRPr="00943BE6">
        <w:rPr>
          <w:rFonts w:ascii="Palatino Linotype" w:hAnsi="Palatino Linotype"/>
        </w:rPr>
        <w:t>(2</w:t>
      </w:r>
      <w:r w:rsidRPr="00943BE6">
        <w:rPr>
          <w:rFonts w:ascii="Palatino Linotype" w:hAnsi="Palatino Linotype"/>
        </w:rPr>
        <w:fldChar w:fldCharType="end"/>
      </w:r>
      <w:r w:rsidRPr="00943BE6">
        <w:rPr>
          <w:rFonts w:ascii="Palatino Linotype" w:hAnsi="Palatino Linotyp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844"/>
      </w:tblGrid>
      <w:tr w:rsidR="00992E10" w:rsidRPr="00943BE6" w14:paraId="07D1830B" w14:textId="77777777" w:rsidTr="00E70C07">
        <w:tc>
          <w:tcPr>
            <w:tcW w:w="8500" w:type="dxa"/>
          </w:tcPr>
          <w:p w14:paraId="5DA5BD7C" w14:textId="7CDB9746" w:rsidR="00992E10" w:rsidRPr="00943BE6" w:rsidRDefault="00000000" w:rsidP="00992E10">
            <w:pPr>
              <w:spacing w:before="120" w:after="120" w:line="360" w:lineRule="auto"/>
              <w:ind w:firstLine="0"/>
              <w:rPr>
                <w:rFonts w:ascii="Palatino Linotype" w:hAnsi="Palatino Linotype"/>
                <w:i/>
              </w:rPr>
            </w:pPr>
            <m:oMathPara>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=σ </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r</m:t>
                        </m:r>
                      </m:sub>
                    </m:sSub>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r</m:t>
                        </m:r>
                      </m:sub>
                    </m:sSub>
                    <m:sSub>
                      <m:sSubPr>
                        <m:ctrlPr>
                          <w:rPr>
                            <w:rFonts w:ascii="Cambria Math" w:hAnsi="Cambria Math"/>
                            <w:i/>
                          </w:rPr>
                        </m:ctrlPr>
                      </m:sSubPr>
                      <m:e>
                        <m:r>
                          <w:rPr>
                            <w:rFonts w:ascii="Cambria Math" w:hAnsi="Cambria Math"/>
                          </w:rPr>
                          <m:t>h</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e>
                </m:d>
              </m:oMath>
            </m:oMathPara>
          </w:p>
        </w:tc>
        <w:tc>
          <w:tcPr>
            <w:tcW w:w="844" w:type="dxa"/>
            <w:vAlign w:val="center"/>
          </w:tcPr>
          <w:p w14:paraId="3A63200E" w14:textId="6F270A58" w:rsidR="00992E10" w:rsidRPr="00943BE6" w:rsidRDefault="00992E10" w:rsidP="00992E10">
            <w:pPr>
              <w:spacing w:before="120" w:after="120" w:line="360" w:lineRule="auto"/>
              <w:ind w:firstLine="0"/>
              <w:jc w:val="right"/>
              <w:rPr>
                <w:rFonts w:ascii="Palatino Linotype" w:hAnsi="Palatino Linotype"/>
              </w:rPr>
            </w:pPr>
            <w:bookmarkStart w:id="7" w:name="_Ref202121675"/>
            <w:r w:rsidRPr="00943BE6">
              <w:rPr>
                <w:rFonts w:ascii="Palatino Linotype" w:hAnsi="Palatino Linotype"/>
              </w:rPr>
              <w:t>(</w:t>
            </w:r>
            <w:r w:rsidRPr="00943BE6">
              <w:rPr>
                <w:rFonts w:ascii="Palatino Linotype" w:hAnsi="Palatino Linotype"/>
              </w:rPr>
              <w:fldChar w:fldCharType="begin"/>
            </w:r>
            <w:r w:rsidRPr="00943BE6">
              <w:rPr>
                <w:rFonts w:ascii="Palatino Linotype" w:hAnsi="Palatino Linotype"/>
              </w:rPr>
              <w:instrText xml:space="preserve"> SEQ Equation \* ARABIC </w:instrText>
            </w:r>
            <w:r w:rsidRPr="00943BE6">
              <w:rPr>
                <w:rFonts w:ascii="Palatino Linotype" w:hAnsi="Palatino Linotype"/>
              </w:rPr>
              <w:fldChar w:fldCharType="separate"/>
            </w:r>
            <w:r w:rsidR="0085441D" w:rsidRPr="00943BE6">
              <w:rPr>
                <w:rFonts w:ascii="Palatino Linotype" w:hAnsi="Palatino Linotype"/>
                <w:noProof/>
              </w:rPr>
              <w:t>2</w:t>
            </w:r>
            <w:r w:rsidRPr="00943BE6">
              <w:rPr>
                <w:rFonts w:ascii="Palatino Linotype" w:hAnsi="Palatino Linotype"/>
              </w:rPr>
              <w:fldChar w:fldCharType="end"/>
            </w:r>
            <w:bookmarkEnd w:id="7"/>
            <w:r w:rsidRPr="00943BE6">
              <w:rPr>
                <w:rFonts w:ascii="Palatino Linotype" w:hAnsi="Palatino Linotype"/>
              </w:rPr>
              <w:t>)</w:t>
            </w:r>
          </w:p>
        </w:tc>
      </w:tr>
    </w:tbl>
    <w:p w14:paraId="0B9CFB31" w14:textId="48C3587C" w:rsidR="00992E10" w:rsidRPr="00943BE6" w:rsidRDefault="00992E10" w:rsidP="00992E10">
      <w:pPr>
        <w:numPr>
          <w:ilvl w:val="0"/>
          <w:numId w:val="13"/>
        </w:numPr>
        <w:spacing w:before="120" w:after="120" w:line="360" w:lineRule="auto"/>
        <w:rPr>
          <w:rFonts w:ascii="Palatino Linotype" w:hAnsi="Palatino Linotype"/>
        </w:rPr>
      </w:pPr>
      <w:r w:rsidRPr="00943BE6">
        <w:rPr>
          <w:rFonts w:ascii="Palatino Linotype" w:hAnsi="Palatino Linotype"/>
        </w:rPr>
        <w:t xml:space="preserve">Candidate hidden state computes the potential new state based on the input and modulated previous state in Equation </w:t>
      </w:r>
      <w:r w:rsidRPr="00943BE6">
        <w:rPr>
          <w:rFonts w:ascii="Palatino Linotype" w:hAnsi="Palatino Linotype"/>
        </w:rPr>
        <w:fldChar w:fldCharType="begin"/>
      </w:r>
      <w:r w:rsidRPr="00943BE6">
        <w:rPr>
          <w:rFonts w:ascii="Palatino Linotype" w:hAnsi="Palatino Linotype"/>
        </w:rPr>
        <w:instrText xml:space="preserve"> REF _Ref202121690 \h  \* MERGEFORMAT </w:instrText>
      </w:r>
      <w:r w:rsidRPr="00943BE6">
        <w:rPr>
          <w:rFonts w:ascii="Palatino Linotype" w:hAnsi="Palatino Linotype"/>
        </w:rPr>
      </w:r>
      <w:r w:rsidRPr="00943BE6">
        <w:rPr>
          <w:rFonts w:ascii="Palatino Linotype" w:hAnsi="Palatino Linotype"/>
        </w:rPr>
        <w:fldChar w:fldCharType="separate"/>
      </w:r>
      <w:r w:rsidR="0085441D" w:rsidRPr="00943BE6">
        <w:rPr>
          <w:rFonts w:ascii="Palatino Linotype" w:hAnsi="Palatino Linotype"/>
        </w:rPr>
        <w:t>(3</w:t>
      </w:r>
      <w:r w:rsidRPr="00943BE6">
        <w:rPr>
          <w:rFonts w:ascii="Palatino Linotype" w:hAnsi="Palatino Linotype"/>
        </w:rPr>
        <w:fldChar w:fldCharType="end"/>
      </w:r>
      <w:r w:rsidRPr="00943BE6">
        <w:rPr>
          <w:rFonts w:ascii="Palatino Linotype" w:hAnsi="Palatino Linotyp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844"/>
      </w:tblGrid>
      <w:tr w:rsidR="00992E10" w:rsidRPr="00943BE6" w14:paraId="637842F5" w14:textId="77777777" w:rsidTr="00E70C07">
        <w:tc>
          <w:tcPr>
            <w:tcW w:w="8500" w:type="dxa"/>
          </w:tcPr>
          <w:p w14:paraId="205D3123" w14:textId="7D6B0A01" w:rsidR="00992E10" w:rsidRPr="00943BE6" w:rsidRDefault="00000000" w:rsidP="00992E10">
            <w:pPr>
              <w:spacing w:before="120" w:after="120" w:line="360" w:lineRule="auto"/>
              <w:ind w:firstLine="0"/>
              <w:rPr>
                <w:rFonts w:ascii="Palatino Linotype" w:hAnsi="Palatino Linotype"/>
              </w:rPr>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h</m:t>
                        </m:r>
                      </m:e>
                    </m:acc>
                  </m:e>
                  <m:sub>
                    <m:r>
                      <w:rPr>
                        <w:rFonts w:ascii="Cambria Math" w:hAnsi="Cambria Math"/>
                      </w:rPr>
                      <m:t>t</m:t>
                    </m:r>
                  </m:sub>
                </m:sSub>
                <m:r>
                  <m:rPr>
                    <m:sty m:val="p"/>
                  </m:rPr>
                  <w:rPr>
                    <w:rFonts w:ascii="Cambria Math" w:hAnsi="Cambria Math"/>
                  </w:rPr>
                  <m:t>=</m:t>
                </m:r>
                <m:r>
                  <w:rPr>
                    <w:rFonts w:ascii="Cambria Math" w:hAnsi="Cambria Math"/>
                  </w:rPr>
                  <m:t>tanh</m:t>
                </m:r>
                <m:r>
                  <m:rPr>
                    <m:sty m:val="p"/>
                  </m:rPr>
                  <w:rPr>
                    <w:rFonts w:ascii="Cambria Math" w:hAnsi="Cambria Math"/>
                  </w:rPr>
                  <m:t xml:space="preserve"> (</m:t>
                </m:r>
                <m:sSub>
                  <m:sSubPr>
                    <m:ctrlPr>
                      <w:rPr>
                        <w:rFonts w:ascii="Cambria Math" w:hAnsi="Cambria Math"/>
                      </w:rPr>
                    </m:ctrlPr>
                  </m:sSubPr>
                  <m:e>
                    <m:r>
                      <w:rPr>
                        <w:rFonts w:ascii="Cambria Math" w:hAnsi="Cambria Math"/>
                      </w:rPr>
                      <m:t>W</m:t>
                    </m:r>
                  </m:e>
                  <m:sub>
                    <m:r>
                      <w:rPr>
                        <w:rFonts w:ascii="Cambria Math" w:hAnsi="Cambria Math"/>
                      </w:rPr>
                      <m:t>h</m:t>
                    </m:r>
                  </m:sub>
                </m:sSub>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h</m:t>
                    </m:r>
                  </m:sub>
                </m:sSub>
                <m:r>
                  <m:rPr>
                    <m:sty m:val="p"/>
                  </m:rPr>
                  <w:rPr>
                    <w:rFonts w:ascii="Cambria Math" w:hAnsi="Cambria Math"/>
                  </w:rPr>
                  <m:t>)</m:t>
                </m:r>
              </m:oMath>
            </m:oMathPara>
          </w:p>
        </w:tc>
        <w:tc>
          <w:tcPr>
            <w:tcW w:w="844" w:type="dxa"/>
            <w:vAlign w:val="center"/>
          </w:tcPr>
          <w:p w14:paraId="3232D73E" w14:textId="080C4C25" w:rsidR="00992E10" w:rsidRPr="00943BE6" w:rsidRDefault="00992E10" w:rsidP="00992E10">
            <w:pPr>
              <w:spacing w:before="120" w:after="120" w:line="360" w:lineRule="auto"/>
              <w:ind w:firstLine="0"/>
              <w:jc w:val="right"/>
              <w:rPr>
                <w:rFonts w:ascii="Palatino Linotype" w:hAnsi="Palatino Linotype"/>
              </w:rPr>
            </w:pPr>
            <w:r w:rsidRPr="00943BE6">
              <w:rPr>
                <w:rFonts w:ascii="Palatino Linotype" w:hAnsi="Palatino Linotype"/>
              </w:rPr>
              <w:t xml:space="preserve"> </w:t>
            </w:r>
            <w:bookmarkStart w:id="8" w:name="_Ref202121690"/>
            <w:r w:rsidRPr="00943BE6">
              <w:rPr>
                <w:rFonts w:ascii="Palatino Linotype" w:hAnsi="Palatino Linotype"/>
              </w:rPr>
              <w:t>(</w:t>
            </w:r>
            <w:r w:rsidRPr="00943BE6">
              <w:rPr>
                <w:rFonts w:ascii="Palatino Linotype" w:hAnsi="Palatino Linotype"/>
              </w:rPr>
              <w:fldChar w:fldCharType="begin"/>
            </w:r>
            <w:r w:rsidRPr="00943BE6">
              <w:rPr>
                <w:rFonts w:ascii="Palatino Linotype" w:hAnsi="Palatino Linotype"/>
              </w:rPr>
              <w:instrText xml:space="preserve"> SEQ Equation \* ARABIC </w:instrText>
            </w:r>
            <w:r w:rsidRPr="00943BE6">
              <w:rPr>
                <w:rFonts w:ascii="Palatino Linotype" w:hAnsi="Palatino Linotype"/>
              </w:rPr>
              <w:fldChar w:fldCharType="separate"/>
            </w:r>
            <w:r w:rsidR="0085441D" w:rsidRPr="00943BE6">
              <w:rPr>
                <w:rFonts w:ascii="Palatino Linotype" w:hAnsi="Palatino Linotype"/>
                <w:noProof/>
              </w:rPr>
              <w:t>3</w:t>
            </w:r>
            <w:r w:rsidRPr="00943BE6">
              <w:rPr>
                <w:rFonts w:ascii="Palatino Linotype" w:hAnsi="Palatino Linotype"/>
              </w:rPr>
              <w:fldChar w:fldCharType="end"/>
            </w:r>
            <w:bookmarkEnd w:id="8"/>
            <w:r w:rsidRPr="00943BE6">
              <w:rPr>
                <w:rFonts w:ascii="Palatino Linotype" w:hAnsi="Palatino Linotype"/>
              </w:rPr>
              <w:t>)</w:t>
            </w:r>
          </w:p>
        </w:tc>
      </w:tr>
    </w:tbl>
    <w:p w14:paraId="17AD9E41" w14:textId="51295EE5" w:rsidR="00992E10" w:rsidRPr="00943BE6" w:rsidRDefault="00992E10" w:rsidP="00992E10">
      <w:pPr>
        <w:numPr>
          <w:ilvl w:val="0"/>
          <w:numId w:val="13"/>
        </w:numPr>
        <w:spacing w:before="120" w:after="120" w:line="360" w:lineRule="auto"/>
        <w:rPr>
          <w:rFonts w:ascii="Palatino Linotype" w:hAnsi="Palatino Linotype"/>
        </w:rPr>
      </w:pPr>
      <w:r w:rsidRPr="00943BE6">
        <w:rPr>
          <w:rFonts w:ascii="Palatino Linotype" w:hAnsi="Palatino Linotype"/>
        </w:rPr>
        <w:t xml:space="preserve">Hidden state combines the candidate and previous states, weighted by the update gate in Equation </w:t>
      </w:r>
      <w:r w:rsidRPr="00943BE6">
        <w:rPr>
          <w:rFonts w:ascii="Palatino Linotype" w:hAnsi="Palatino Linotype"/>
        </w:rPr>
        <w:fldChar w:fldCharType="begin"/>
      </w:r>
      <w:r w:rsidRPr="00943BE6">
        <w:rPr>
          <w:rFonts w:ascii="Palatino Linotype" w:hAnsi="Palatino Linotype"/>
        </w:rPr>
        <w:instrText xml:space="preserve"> REF _Ref202121709 \h  \* MERGEFORMAT </w:instrText>
      </w:r>
      <w:r w:rsidRPr="00943BE6">
        <w:rPr>
          <w:rFonts w:ascii="Palatino Linotype" w:hAnsi="Palatino Linotype"/>
        </w:rPr>
      </w:r>
      <w:r w:rsidRPr="00943BE6">
        <w:rPr>
          <w:rFonts w:ascii="Palatino Linotype" w:hAnsi="Palatino Linotype"/>
        </w:rPr>
        <w:fldChar w:fldCharType="separate"/>
      </w:r>
      <w:r w:rsidR="0085441D" w:rsidRPr="00943BE6">
        <w:rPr>
          <w:rFonts w:ascii="Palatino Linotype" w:hAnsi="Palatino Linotype"/>
        </w:rPr>
        <w:t>(4</w:t>
      </w:r>
      <w:r w:rsidRPr="00943BE6">
        <w:rPr>
          <w:rFonts w:ascii="Palatino Linotype" w:hAnsi="Palatino Linotype"/>
        </w:rPr>
        <w:fldChar w:fldCharType="end"/>
      </w:r>
      <w:r w:rsidRPr="00943BE6">
        <w:rPr>
          <w:rFonts w:ascii="Palatino Linotype" w:hAnsi="Palatino Linotyp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844"/>
      </w:tblGrid>
      <w:tr w:rsidR="00992E10" w:rsidRPr="00943BE6" w14:paraId="4746D656" w14:textId="77777777" w:rsidTr="00E70C07">
        <w:tc>
          <w:tcPr>
            <w:tcW w:w="8500" w:type="dxa"/>
          </w:tcPr>
          <w:p w14:paraId="7A9CD0A4" w14:textId="32A86679" w:rsidR="00992E10" w:rsidRPr="00943BE6" w:rsidRDefault="00000000" w:rsidP="00992E10">
            <w:pPr>
              <w:spacing w:before="120" w:after="120" w:line="360" w:lineRule="auto"/>
              <w:ind w:firstLine="0"/>
              <w:rPr>
                <w:rFonts w:ascii="Palatino Linotype" w:hAnsi="Palatino Linotype"/>
              </w:rPr>
            </w:pPr>
            <m:oMathPara>
              <m:oMath>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t</m:t>
                    </m:r>
                  </m:sub>
                </m:sSub>
                <m:r>
                  <m:rPr>
                    <m:sty m:val="p"/>
                  </m:rPr>
                  <w:rPr>
                    <w:rFonts w:ascii="Cambria Math" w:hAnsi="Cambria Math"/>
                  </w:rPr>
                  <m:t xml:space="preserve"> ⨀ </m:t>
                </m:r>
                <m:sSub>
                  <m:sSubPr>
                    <m:ctrlPr>
                      <w:rPr>
                        <w:rFonts w:ascii="Cambria Math" w:hAnsi="Cambria Math"/>
                      </w:rPr>
                    </m:ctrlPr>
                  </m:sSubPr>
                  <m:e>
                    <m:acc>
                      <m:accPr>
                        <m:chr m:val="̃"/>
                        <m:ctrlPr>
                          <w:rPr>
                            <w:rFonts w:ascii="Cambria Math" w:hAnsi="Cambria Math"/>
                          </w:rPr>
                        </m:ctrlPr>
                      </m:accPr>
                      <m:e>
                        <m:r>
                          <w:rPr>
                            <w:rFonts w:ascii="Cambria Math" w:hAnsi="Cambria Math"/>
                          </w:rPr>
                          <m:t>h</m:t>
                        </m:r>
                      </m:e>
                    </m:acc>
                  </m:e>
                  <m:sub>
                    <m:r>
                      <w:rPr>
                        <w:rFonts w:ascii="Cambria Math" w:hAnsi="Cambria Math"/>
                      </w:rPr>
                      <m:t>t</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z</m:t>
                        </m:r>
                      </m:e>
                      <m:sub>
                        <m:r>
                          <w:rPr>
                            <w:rFonts w:ascii="Cambria Math" w:hAnsi="Cambria Math"/>
                          </w:rPr>
                          <m:t>t</m:t>
                        </m:r>
                      </m:sub>
                    </m:sSub>
                  </m:e>
                </m:d>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 xml:space="preserve"> </m:t>
                    </m:r>
                    <m:r>
                      <w:rPr>
                        <w:rFonts w:ascii="Cambria Math" w:hAnsi="Cambria Math"/>
                      </w:rPr>
                      <m:t>h</m:t>
                    </m:r>
                  </m:e>
                  <m:sub>
                    <m:r>
                      <w:rPr>
                        <w:rFonts w:ascii="Cambria Math" w:hAnsi="Cambria Math"/>
                      </w:rPr>
                      <m:t>t</m:t>
                    </m:r>
                    <m:r>
                      <m:rPr>
                        <m:sty m:val="p"/>
                      </m:rPr>
                      <w:rPr>
                        <w:rFonts w:ascii="Cambria Math" w:hAnsi="Cambria Math"/>
                      </w:rPr>
                      <m:t>-1</m:t>
                    </m:r>
                  </m:sub>
                </m:sSub>
                <m:r>
                  <m:rPr>
                    <m:sty m:val="p"/>
                  </m:rPr>
                  <w:rPr>
                    <w:rFonts w:ascii="Cambria Math" w:hAnsi="Cambria Math"/>
                  </w:rPr>
                  <m:t>)</m:t>
                </m:r>
              </m:oMath>
            </m:oMathPara>
          </w:p>
        </w:tc>
        <w:tc>
          <w:tcPr>
            <w:tcW w:w="844" w:type="dxa"/>
            <w:vAlign w:val="center"/>
          </w:tcPr>
          <w:p w14:paraId="6CFD2A26" w14:textId="41D600DD" w:rsidR="00992E10" w:rsidRPr="00943BE6" w:rsidRDefault="00992E10" w:rsidP="00992E10">
            <w:pPr>
              <w:spacing w:before="120" w:after="120" w:line="360" w:lineRule="auto"/>
              <w:ind w:firstLine="0"/>
              <w:jc w:val="right"/>
              <w:rPr>
                <w:rFonts w:ascii="Palatino Linotype" w:hAnsi="Palatino Linotype"/>
              </w:rPr>
            </w:pPr>
            <w:r w:rsidRPr="00943BE6">
              <w:rPr>
                <w:rFonts w:ascii="Palatino Linotype" w:hAnsi="Palatino Linotype"/>
              </w:rPr>
              <w:t xml:space="preserve"> </w:t>
            </w:r>
            <w:bookmarkStart w:id="9" w:name="_Ref202121709"/>
            <w:r w:rsidRPr="00943BE6">
              <w:rPr>
                <w:rFonts w:ascii="Palatino Linotype" w:hAnsi="Palatino Linotype"/>
              </w:rPr>
              <w:t>(</w:t>
            </w:r>
            <w:r w:rsidRPr="00943BE6">
              <w:rPr>
                <w:rFonts w:ascii="Palatino Linotype" w:hAnsi="Palatino Linotype"/>
              </w:rPr>
              <w:fldChar w:fldCharType="begin"/>
            </w:r>
            <w:r w:rsidRPr="00943BE6">
              <w:rPr>
                <w:rFonts w:ascii="Palatino Linotype" w:hAnsi="Palatino Linotype"/>
              </w:rPr>
              <w:instrText xml:space="preserve"> SEQ Equation \* ARABIC </w:instrText>
            </w:r>
            <w:r w:rsidRPr="00943BE6">
              <w:rPr>
                <w:rFonts w:ascii="Palatino Linotype" w:hAnsi="Palatino Linotype"/>
              </w:rPr>
              <w:fldChar w:fldCharType="separate"/>
            </w:r>
            <w:r w:rsidR="0085441D" w:rsidRPr="00943BE6">
              <w:rPr>
                <w:rFonts w:ascii="Palatino Linotype" w:hAnsi="Palatino Linotype"/>
                <w:noProof/>
              </w:rPr>
              <w:t>4</w:t>
            </w:r>
            <w:r w:rsidRPr="00943BE6">
              <w:rPr>
                <w:rFonts w:ascii="Palatino Linotype" w:hAnsi="Palatino Linotype"/>
              </w:rPr>
              <w:fldChar w:fldCharType="end"/>
            </w:r>
            <w:bookmarkEnd w:id="9"/>
            <w:r w:rsidRPr="00943BE6">
              <w:rPr>
                <w:rFonts w:ascii="Palatino Linotype" w:hAnsi="Palatino Linotype"/>
              </w:rPr>
              <w:t>)</w:t>
            </w:r>
          </w:p>
        </w:tc>
      </w:tr>
    </w:tbl>
    <w:p w14:paraId="039975B1" w14:textId="4C35A734" w:rsidR="00992E10" w:rsidRPr="00943BE6" w:rsidRDefault="00992E10" w:rsidP="00992E10">
      <w:pPr>
        <w:spacing w:before="120" w:after="120" w:line="360" w:lineRule="auto"/>
        <w:ind w:firstLine="587"/>
        <w:rPr>
          <w:rFonts w:ascii="Palatino Linotype" w:hAnsi="Palatino Linotype"/>
        </w:rPr>
      </w:pPr>
      <w:r w:rsidRPr="00943BE6">
        <w:rPr>
          <w:rFonts w:ascii="Palatino Linotype" w:hAnsi="Palatino Linotype"/>
        </w:rPr>
        <w:t>where:</w:t>
      </w:r>
    </w:p>
    <w:p w14:paraId="3144AF9D" w14:textId="31537BA0" w:rsidR="00992E10" w:rsidRPr="00943BE6" w:rsidRDefault="00000000" w:rsidP="00992E10">
      <w:pPr>
        <w:numPr>
          <w:ilvl w:val="1"/>
          <w:numId w:val="14"/>
        </w:numPr>
        <w:spacing w:before="120" w:after="120" w:line="360" w:lineRule="auto"/>
        <w:rPr>
          <w:rFonts w:ascii="Palatino Linotype" w:hAnsi="Palatino Linotype"/>
        </w:rPr>
      </w:pP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00992E10" w:rsidRPr="00943BE6">
        <w:rPr>
          <w:rFonts w:ascii="Palatino Linotype" w:hAnsi="Palatino Linotype"/>
        </w:rPr>
        <w:t>: input vector (e.g., Bitcoin open, high, low, volume) at time t,</w:t>
      </w:r>
    </w:p>
    <w:p w14:paraId="3311E93C" w14:textId="17E98134" w:rsidR="00992E10" w:rsidRPr="00943BE6" w:rsidRDefault="00000000" w:rsidP="00992E10">
      <w:pPr>
        <w:numPr>
          <w:ilvl w:val="1"/>
          <w:numId w:val="14"/>
        </w:numPr>
        <w:spacing w:before="120" w:after="120" w:line="360" w:lineRule="auto"/>
        <w:rPr>
          <w:rFonts w:ascii="Palatino Linotype" w:hAnsi="Palatino Linotype"/>
        </w:rPr>
      </w:pPr>
      <m:oMath>
        <m:sSub>
          <m:sSubPr>
            <m:ctrlPr>
              <w:rPr>
                <w:rFonts w:ascii="Cambria Math" w:hAnsi="Cambria Math"/>
                <w:i/>
              </w:rPr>
            </m:ctrlPr>
          </m:sSubPr>
          <m:e>
            <m:r>
              <w:rPr>
                <w:rFonts w:ascii="Cambria Math" w:hAnsi="Cambria Math"/>
              </w:rPr>
              <m:t xml:space="preserve"> h</m:t>
            </m:r>
          </m:e>
          <m:sub>
            <m:r>
              <w:rPr>
                <w:rFonts w:ascii="Cambria Math" w:hAnsi="Cambria Math"/>
              </w:rPr>
              <m:t>t-1</m:t>
            </m:r>
          </m:sub>
        </m:sSub>
      </m:oMath>
      <w:r w:rsidR="00992E10" w:rsidRPr="00943BE6">
        <w:rPr>
          <w:rFonts w:ascii="Palatino Linotype" w:hAnsi="Palatino Linotype"/>
        </w:rPr>
        <w:t xml:space="preserve">, </w:t>
      </w:r>
      <m:oMath>
        <m:sSub>
          <m:sSubPr>
            <m:ctrlPr>
              <w:rPr>
                <w:rFonts w:ascii="Cambria Math" w:hAnsi="Cambria Math"/>
                <w:i/>
              </w:rPr>
            </m:ctrlPr>
          </m:sSubPr>
          <m:e>
            <m:r>
              <w:rPr>
                <w:rFonts w:ascii="Cambria Math" w:hAnsi="Cambria Math"/>
              </w:rPr>
              <m:t>h</m:t>
            </m:r>
          </m:e>
          <m:sub>
            <m:r>
              <w:rPr>
                <w:rFonts w:ascii="Cambria Math" w:hAnsi="Cambria Math"/>
              </w:rPr>
              <m:t>t</m:t>
            </m:r>
          </m:sub>
        </m:sSub>
      </m:oMath>
      <w:r w:rsidR="00992E10" w:rsidRPr="00943BE6">
        <w:rPr>
          <w:rFonts w:ascii="Palatino Linotype" w:hAnsi="Palatino Linotype"/>
        </w:rPr>
        <w:t>: previous and new hidden states,</w:t>
      </w:r>
    </w:p>
    <w:p w14:paraId="512D7C69" w14:textId="6FFCB312" w:rsidR="00992E10" w:rsidRPr="00943BE6" w:rsidRDefault="00000000" w:rsidP="00992E10">
      <w:pPr>
        <w:numPr>
          <w:ilvl w:val="1"/>
          <w:numId w:val="14"/>
        </w:numPr>
        <w:spacing w:before="120" w:after="120" w:line="360" w:lineRule="auto"/>
        <w:rPr>
          <w:rFonts w:ascii="Palatino Linotype" w:hAnsi="Palatino Linotype"/>
        </w:r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h</m:t>
                </m:r>
              </m:e>
            </m:acc>
          </m:e>
          <m:sub>
            <m:r>
              <w:rPr>
                <w:rFonts w:ascii="Cambria Math" w:hAnsi="Cambria Math"/>
              </w:rPr>
              <m:t>t</m:t>
            </m:r>
          </m:sub>
        </m:sSub>
      </m:oMath>
      <w:r w:rsidR="00992E10" w:rsidRPr="00943BE6">
        <w:rPr>
          <w:rFonts w:ascii="Palatino Linotype" w:hAnsi="Palatino Linotype"/>
        </w:rPr>
        <w:t>: candidate hidden state,</w:t>
      </w:r>
    </w:p>
    <w:p w14:paraId="590AAB46" w14:textId="3F23F8B5" w:rsidR="00992E10" w:rsidRPr="00943BE6" w:rsidRDefault="00000000" w:rsidP="00992E10">
      <w:pPr>
        <w:numPr>
          <w:ilvl w:val="1"/>
          <w:numId w:val="14"/>
        </w:numPr>
        <w:spacing w:before="120" w:after="120" w:line="360" w:lineRule="auto"/>
        <w:rPr>
          <w:rFonts w:ascii="Palatino Linotype" w:hAnsi="Palatino Linotype"/>
        </w:rPr>
      </w:pPr>
      <m:oMath>
        <m:sSub>
          <m:sSubPr>
            <m:ctrlPr>
              <w:rPr>
                <w:rFonts w:ascii="Cambria Math" w:hAnsi="Cambria Math"/>
                <w:i/>
              </w:rPr>
            </m:ctrlPr>
          </m:sSubPr>
          <m:e>
            <m:r>
              <w:rPr>
                <w:rFonts w:ascii="Cambria Math" w:hAnsi="Cambria Math"/>
              </w:rPr>
              <m:t>z</m:t>
            </m:r>
          </m:e>
          <m:sub>
            <m:r>
              <w:rPr>
                <w:rFonts w:ascii="Cambria Math" w:hAnsi="Cambria Math"/>
              </w:rPr>
              <m:t>t</m:t>
            </m:r>
          </m:sub>
        </m:sSub>
      </m:oMath>
      <w:r w:rsidR="00992E10" w:rsidRPr="00943BE6">
        <w:rPr>
          <w:rFonts w:ascii="Palatino Linotype" w:hAnsi="Palatino Linotype"/>
        </w:rPr>
        <w:t xml:space="preserve">, </w:t>
      </w: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oMath>
      <w:r w:rsidR="00992E10" w:rsidRPr="00943BE6">
        <w:rPr>
          <w:rFonts w:ascii="Palatino Linotype" w:hAnsi="Palatino Linotype"/>
        </w:rPr>
        <w:t>update and reset gate activations,</w:t>
      </w:r>
    </w:p>
    <w:p w14:paraId="09598230" w14:textId="684C2966" w:rsidR="00992E10" w:rsidRPr="00943BE6" w:rsidRDefault="00000000" w:rsidP="00992E10">
      <w:pPr>
        <w:numPr>
          <w:ilvl w:val="1"/>
          <w:numId w:val="14"/>
        </w:numPr>
        <w:spacing w:before="120" w:after="120" w:line="360" w:lineRule="auto"/>
        <w:rPr>
          <w:rFonts w:ascii="Palatino Linotype" w:hAnsi="Palatino Linotype"/>
        </w:rPr>
      </w:pPr>
      <m:oMath>
        <m:sSub>
          <m:sSubPr>
            <m:ctrlPr>
              <w:rPr>
                <w:rFonts w:ascii="Cambria Math" w:hAnsi="Cambria Math"/>
                <w:i/>
              </w:rPr>
            </m:ctrlPr>
          </m:sSubPr>
          <m:e>
            <m:r>
              <w:rPr>
                <w:rFonts w:ascii="Cambria Math" w:hAnsi="Cambria Math"/>
              </w:rPr>
              <m:t>W</m:t>
            </m:r>
          </m:e>
          <m:sub>
            <m:r>
              <w:rPr>
                <w:rFonts w:ascii="Cambria Math" w:hAnsi="Cambria Math"/>
              </w:rPr>
              <m:t>z</m:t>
            </m:r>
          </m:sub>
        </m:sSub>
      </m:oMath>
      <w:r w:rsidR="00992E10" w:rsidRPr="00943BE6">
        <w:rPr>
          <w:rFonts w:ascii="Palatino Linotype" w:hAnsi="Palatino Linotype"/>
        </w:rPr>
        <w:t xml:space="preserve">, </w:t>
      </w:r>
      <m:oMath>
        <m:sSub>
          <m:sSubPr>
            <m:ctrlPr>
              <w:rPr>
                <w:rFonts w:ascii="Cambria Math" w:hAnsi="Cambria Math"/>
                <w:i/>
              </w:rPr>
            </m:ctrlPr>
          </m:sSubPr>
          <m:e>
            <m:r>
              <w:rPr>
                <w:rFonts w:ascii="Cambria Math" w:hAnsi="Cambria Math"/>
              </w:rPr>
              <m:t>W</m:t>
            </m:r>
          </m:e>
          <m:sub>
            <m:r>
              <w:rPr>
                <w:rFonts w:ascii="Cambria Math" w:hAnsi="Cambria Math"/>
              </w:rPr>
              <m:t>r</m:t>
            </m:r>
          </m:sub>
        </m:sSub>
      </m:oMath>
      <w:r w:rsidR="00992E10" w:rsidRPr="00943BE6">
        <w:rPr>
          <w:rFonts w:ascii="Palatino Linotype" w:hAnsi="Palatino Linotype"/>
        </w:rPr>
        <w:t xml:space="preserve">, </w:t>
      </w:r>
      <m:oMath>
        <m:sSub>
          <m:sSubPr>
            <m:ctrlPr>
              <w:rPr>
                <w:rFonts w:ascii="Cambria Math" w:hAnsi="Cambria Math"/>
                <w:i/>
              </w:rPr>
            </m:ctrlPr>
          </m:sSubPr>
          <m:e>
            <m:r>
              <w:rPr>
                <w:rFonts w:ascii="Cambria Math" w:hAnsi="Cambria Math"/>
              </w:rPr>
              <m:t>W</m:t>
            </m:r>
          </m:e>
          <m:sub>
            <m:r>
              <w:rPr>
                <w:rFonts w:ascii="Cambria Math" w:hAnsi="Cambria Math"/>
              </w:rPr>
              <m:t>h</m:t>
            </m:r>
          </m:sub>
        </m:sSub>
      </m:oMath>
      <w:r w:rsidR="00992E10" w:rsidRPr="00943BE6">
        <w:rPr>
          <w:rFonts w:ascii="Palatino Linotype" w:hAnsi="Palatino Linotype"/>
        </w:rPr>
        <w:t xml:space="preserve">, </w:t>
      </w:r>
      <m:oMath>
        <m:sSub>
          <m:sSubPr>
            <m:ctrlPr>
              <w:rPr>
                <w:rFonts w:ascii="Cambria Math" w:hAnsi="Cambria Math"/>
                <w:i/>
              </w:rPr>
            </m:ctrlPr>
          </m:sSubPr>
          <m:e>
            <m:r>
              <w:rPr>
                <w:rFonts w:ascii="Cambria Math" w:hAnsi="Cambria Math"/>
              </w:rPr>
              <m:t>U</m:t>
            </m:r>
          </m:e>
          <m:sub>
            <m:r>
              <w:rPr>
                <w:rFonts w:ascii="Cambria Math" w:hAnsi="Cambria Math"/>
              </w:rPr>
              <m:t>z</m:t>
            </m:r>
          </m:sub>
        </m:sSub>
      </m:oMath>
      <w:r w:rsidR="00992E10" w:rsidRPr="00943BE6">
        <w:rPr>
          <w:rFonts w:ascii="Palatino Linotype" w:hAnsi="Palatino Linotype"/>
        </w:rPr>
        <w:t xml:space="preserve">, </w:t>
      </w:r>
      <m:oMath>
        <m:sSub>
          <m:sSubPr>
            <m:ctrlPr>
              <w:rPr>
                <w:rFonts w:ascii="Cambria Math" w:hAnsi="Cambria Math"/>
                <w:i/>
              </w:rPr>
            </m:ctrlPr>
          </m:sSubPr>
          <m:e>
            <m:r>
              <w:rPr>
                <w:rFonts w:ascii="Cambria Math" w:hAnsi="Cambria Math"/>
              </w:rPr>
              <m:t>U</m:t>
            </m:r>
          </m:e>
          <m:sub>
            <m:r>
              <w:rPr>
                <w:rFonts w:ascii="Cambria Math" w:hAnsi="Cambria Math"/>
              </w:rPr>
              <m:t>r</m:t>
            </m:r>
          </m:sub>
        </m:sSub>
      </m:oMath>
      <w:r w:rsidR="00992E10" w:rsidRPr="00943BE6">
        <w:rPr>
          <w:rFonts w:ascii="Palatino Linotype" w:hAnsi="Palatino Linotype"/>
        </w:rPr>
        <w:t xml:space="preserve">, </w:t>
      </w:r>
      <m:oMath>
        <m:sSub>
          <m:sSubPr>
            <m:ctrlPr>
              <w:rPr>
                <w:rFonts w:ascii="Cambria Math" w:hAnsi="Cambria Math"/>
                <w:i/>
              </w:rPr>
            </m:ctrlPr>
          </m:sSubPr>
          <m:e>
            <m:r>
              <w:rPr>
                <w:rFonts w:ascii="Cambria Math" w:hAnsi="Cambria Math"/>
              </w:rPr>
              <m:t>U</m:t>
            </m:r>
          </m:e>
          <m:sub>
            <m:r>
              <w:rPr>
                <w:rFonts w:ascii="Cambria Math" w:hAnsi="Cambria Math"/>
              </w:rPr>
              <m:t>h</m:t>
            </m:r>
          </m:sub>
        </m:sSub>
      </m:oMath>
      <w:r w:rsidR="00992E10" w:rsidRPr="00943BE6">
        <w:rPr>
          <w:rFonts w:ascii="Palatino Linotype" w:hAnsi="Palatino Linotype"/>
        </w:rPr>
        <w:t>: weight matrices,</w:t>
      </w:r>
    </w:p>
    <w:p w14:paraId="49E4122D" w14:textId="0970D09B" w:rsidR="00992E10" w:rsidRPr="00943BE6" w:rsidRDefault="00000000" w:rsidP="00992E10">
      <w:pPr>
        <w:numPr>
          <w:ilvl w:val="1"/>
          <w:numId w:val="14"/>
        </w:numPr>
        <w:spacing w:before="120" w:after="120" w:line="360" w:lineRule="auto"/>
        <w:rPr>
          <w:rFonts w:ascii="Palatino Linotype" w:hAnsi="Palatino Linotype"/>
        </w:rPr>
      </w:pPr>
      <m:oMath>
        <m:sSub>
          <m:sSubPr>
            <m:ctrlPr>
              <w:rPr>
                <w:rFonts w:ascii="Cambria Math" w:hAnsi="Cambria Math"/>
                <w:i/>
              </w:rPr>
            </m:ctrlPr>
          </m:sSubPr>
          <m:e>
            <m:r>
              <w:rPr>
                <w:rFonts w:ascii="Cambria Math" w:hAnsi="Cambria Math"/>
              </w:rPr>
              <m:t>b</m:t>
            </m:r>
          </m:e>
          <m:sub>
            <m:r>
              <w:rPr>
                <w:rFonts w:ascii="Cambria Math" w:hAnsi="Cambria Math"/>
              </w:rPr>
              <m:t>z</m:t>
            </m:r>
          </m:sub>
        </m:sSub>
      </m:oMath>
      <w:r w:rsidR="00992E10" w:rsidRPr="00943BE6">
        <w:rPr>
          <w:rFonts w:ascii="Palatino Linotype" w:hAnsi="Palatino Linotype"/>
        </w:rPr>
        <w:t xml:space="preserve">, </w:t>
      </w:r>
      <m:oMath>
        <m:sSub>
          <m:sSubPr>
            <m:ctrlPr>
              <w:rPr>
                <w:rFonts w:ascii="Cambria Math" w:hAnsi="Cambria Math"/>
                <w:i/>
              </w:rPr>
            </m:ctrlPr>
          </m:sSubPr>
          <m:e>
            <m:r>
              <w:rPr>
                <w:rFonts w:ascii="Cambria Math" w:hAnsi="Cambria Math"/>
              </w:rPr>
              <m:t>b</m:t>
            </m:r>
          </m:e>
          <m:sub>
            <m:r>
              <w:rPr>
                <w:rFonts w:ascii="Cambria Math" w:hAnsi="Cambria Math"/>
              </w:rPr>
              <m:t>r</m:t>
            </m:r>
          </m:sub>
        </m:sSub>
      </m:oMath>
      <w:r w:rsidR="00992E10" w:rsidRPr="00943BE6">
        <w:rPr>
          <w:rFonts w:ascii="Palatino Linotype" w:hAnsi="Palatino Linotype"/>
        </w:rPr>
        <w:t xml:space="preserve">, </w:t>
      </w:r>
      <m:oMath>
        <m:sSub>
          <m:sSubPr>
            <m:ctrlPr>
              <w:rPr>
                <w:rFonts w:ascii="Cambria Math" w:hAnsi="Cambria Math"/>
                <w:i/>
              </w:rPr>
            </m:ctrlPr>
          </m:sSubPr>
          <m:e>
            <m:r>
              <w:rPr>
                <w:rFonts w:ascii="Cambria Math" w:hAnsi="Cambria Math"/>
              </w:rPr>
              <m:t>b</m:t>
            </m:r>
          </m:e>
          <m:sub>
            <m:r>
              <w:rPr>
                <w:rFonts w:ascii="Cambria Math" w:hAnsi="Cambria Math"/>
              </w:rPr>
              <m:t>h</m:t>
            </m:r>
          </m:sub>
        </m:sSub>
      </m:oMath>
      <w:r w:rsidR="00992E10" w:rsidRPr="00943BE6">
        <w:rPr>
          <w:rFonts w:ascii="Palatino Linotype" w:hAnsi="Palatino Linotype"/>
        </w:rPr>
        <w:t>: bias vectors,</w:t>
      </w:r>
    </w:p>
    <w:p w14:paraId="4D9A1EAA" w14:textId="77777777" w:rsidR="00992E10" w:rsidRPr="00943BE6" w:rsidRDefault="00992E10" w:rsidP="00992E10">
      <w:pPr>
        <w:numPr>
          <w:ilvl w:val="1"/>
          <w:numId w:val="14"/>
        </w:numPr>
        <w:spacing w:before="120" w:after="120" w:line="360" w:lineRule="auto"/>
        <w:rPr>
          <w:rFonts w:ascii="Palatino Linotype" w:hAnsi="Palatino Linotype"/>
        </w:rPr>
      </w:pPr>
      <w:r w:rsidRPr="00943BE6">
        <w:rPr>
          <w:rFonts w:ascii="Palatino Linotype" w:hAnsi="Palatino Linotype"/>
        </w:rPr>
        <w:t>σ: sigmoid function,</w:t>
      </w:r>
    </w:p>
    <w:p w14:paraId="2C974330" w14:textId="77777777" w:rsidR="00992E10" w:rsidRPr="00943BE6" w:rsidRDefault="00992E10" w:rsidP="00992E10">
      <w:pPr>
        <w:numPr>
          <w:ilvl w:val="1"/>
          <w:numId w:val="14"/>
        </w:numPr>
        <w:spacing w:before="120" w:after="120" w:line="360" w:lineRule="auto"/>
        <w:rPr>
          <w:rFonts w:ascii="Palatino Linotype" w:hAnsi="Palatino Linotype"/>
        </w:rPr>
      </w:pPr>
      <w:r w:rsidRPr="00943BE6">
        <w:rPr>
          <w:rFonts w:ascii="Palatino Linotype" w:hAnsi="Palatino Linotype"/>
        </w:rPr>
        <w:t>tanh: hyperbolic tangent function,</w:t>
      </w:r>
    </w:p>
    <w:p w14:paraId="41F963B3" w14:textId="77777777" w:rsidR="00992E10" w:rsidRPr="00943BE6" w:rsidRDefault="00992E10" w:rsidP="00992E10">
      <w:pPr>
        <w:numPr>
          <w:ilvl w:val="1"/>
          <w:numId w:val="14"/>
        </w:numPr>
        <w:spacing w:before="120" w:after="120" w:line="360" w:lineRule="auto"/>
        <w:rPr>
          <w:rFonts w:ascii="Palatino Linotype" w:hAnsi="Palatino Linotype"/>
        </w:rPr>
      </w:pPr>
      <w:r w:rsidRPr="00943BE6">
        <w:rPr>
          <w:rFonts w:ascii="Cambria Math" w:hAnsi="Cambria Math" w:cs="Cambria Math"/>
        </w:rPr>
        <w:t>⊙</w:t>
      </w:r>
      <w:r w:rsidRPr="00943BE6">
        <w:rPr>
          <w:rFonts w:ascii="Palatino Linotype" w:hAnsi="Palatino Linotype"/>
        </w:rPr>
        <w:t>: element-wise multiplication.</w:t>
      </w:r>
    </w:p>
    <w:p w14:paraId="1772AD03" w14:textId="6F9B5E44" w:rsidR="00992E10" w:rsidRPr="00943BE6" w:rsidRDefault="00992E10" w:rsidP="00FF5757">
      <w:pPr>
        <w:spacing w:before="120" w:after="120" w:line="360" w:lineRule="auto"/>
        <w:ind w:firstLine="567"/>
        <w:rPr>
          <w:rFonts w:ascii="Palatino Linotype" w:hAnsi="Palatino Linotype"/>
        </w:rPr>
      </w:pPr>
      <w:r w:rsidRPr="00943BE6">
        <w:rPr>
          <w:rFonts w:ascii="Palatino Linotype" w:hAnsi="Palatino Linotype"/>
        </w:rPr>
        <w:t xml:space="preserve">The GRU processes Bitcoin price sequences transformed via the sliding window approach, evaluated across configurations (10, 3), (15, 5), and (21, 7), where the first number indicates the </w:t>
      </w:r>
      <w:r w:rsidR="002C64F4" w:rsidRPr="00943BE6">
        <w:rPr>
          <w:rFonts w:ascii="Palatino Linotype" w:hAnsi="Palatino Linotype"/>
        </w:rPr>
        <w:t>window</w:t>
      </w:r>
      <w:r w:rsidR="00BC1AD4" w:rsidRPr="00943BE6">
        <w:rPr>
          <w:rFonts w:ascii="Palatino Linotype" w:hAnsi="Palatino Linotype"/>
        </w:rPr>
        <w:t xml:space="preserve"> sizes,</w:t>
      </w:r>
      <w:r w:rsidRPr="00943BE6">
        <w:rPr>
          <w:rFonts w:ascii="Palatino Linotype" w:hAnsi="Palatino Linotype"/>
        </w:rPr>
        <w:t xml:space="preserve"> and the second represents the </w:t>
      </w:r>
      <w:r w:rsidR="00BC1AD4" w:rsidRPr="00943BE6">
        <w:rPr>
          <w:rFonts w:ascii="Palatino Linotype" w:hAnsi="Palatino Linotype"/>
        </w:rPr>
        <w:t>forecast sizes</w:t>
      </w:r>
      <w:r w:rsidRPr="00943BE6">
        <w:rPr>
          <w:rFonts w:ascii="Palatino Linotype" w:hAnsi="Palatino Linotype"/>
        </w:rPr>
        <w:t>. It is trained with MSE loss and the Adam optimizer. The GRU’s efficiency and ability to model both short- and long-term dependencies make it ideal for capturing Bitcoin’s volatile price dynamics.</w:t>
      </w:r>
    </w:p>
    <w:p w14:paraId="367C3C62" w14:textId="1C847DF3" w:rsidR="000C3E66" w:rsidRPr="00943BE6" w:rsidRDefault="000C3E66" w:rsidP="000C3E66">
      <w:pPr>
        <w:pStyle w:val="heading2"/>
        <w:spacing w:before="120" w:after="120" w:line="360" w:lineRule="auto"/>
        <w:rPr>
          <w:rFonts w:ascii="Palatino Linotype" w:hAnsi="Palatino Linotype"/>
          <w:bCs/>
          <w:color w:val="000000" w:themeColor="text1"/>
        </w:rPr>
      </w:pPr>
      <w:r w:rsidRPr="00943BE6">
        <w:rPr>
          <w:rFonts w:ascii="Palatino Linotype" w:hAnsi="Palatino Linotype"/>
          <w:bCs/>
          <w:color w:val="000000" w:themeColor="text1"/>
        </w:rPr>
        <w:t>Baseline Architectures</w:t>
      </w:r>
    </w:p>
    <w:p w14:paraId="3C21643D" w14:textId="13A92BA5" w:rsidR="000C3E66" w:rsidRPr="00943BE6" w:rsidRDefault="003453BD" w:rsidP="003453BD">
      <w:pPr>
        <w:spacing w:before="120" w:after="120" w:line="360" w:lineRule="auto"/>
        <w:ind w:firstLine="567"/>
        <w:rPr>
          <w:rFonts w:ascii="Palatino Linotype" w:hAnsi="Palatino Linotype"/>
        </w:rPr>
      </w:pPr>
      <w:r w:rsidRPr="00943BE6">
        <w:rPr>
          <w:rFonts w:ascii="Palatino Linotype" w:hAnsi="Palatino Linotype"/>
        </w:rPr>
        <w:t xml:space="preserve">To validate the effectiveness of the proposed GRU framework, this study benchmarks its performance against four established deep learning architectures widely used in financial time series forecasting. The first baseline is the LSTM network, introduced by Hochreiter and Schmidhuber </w:t>
      </w:r>
      <w:r w:rsidRPr="00943BE6">
        <w:rPr>
          <w:rFonts w:ascii="Palatino Linotype" w:hAnsi="Palatino Linotype"/>
        </w:rPr>
        <w:fldChar w:fldCharType="begin"/>
      </w:r>
      <w:r w:rsidRPr="00943BE6">
        <w:rPr>
          <w:rFonts w:ascii="Palatino Linotype" w:hAnsi="Palatino Linotype"/>
        </w:rPr>
        <w:instrText xml:space="preserve"> ADDIN ZOTERO_ITEM CSL_CITATION {"citationID":"obgwYajD","properties":{"formattedCitation":"[11]","plainCitation":"[11]","noteIndex":0},"citationItems":[{"id":"6m13q9SM/68aY26kS","uris":["http://zotero.org/users/16775479/items/2K345ZB6"],"itemData":{"id":"6m13q9SM/68aY26kS","type":"article-journal","container-title":"Neural computation","issue":"8","note":"publisher: MIT press","page":"1735–1780","source":"Google Scholar","title":"Long short-term memory","volume":"9","author":[{"family":"Hochreiter","given":"Sepp"},{"family":"Schmidhuber","given":"Jürgen"}],"issued":{"date-parts":[["1997"]]}}}],"schema":"https://github.com/citation-style-language/schema/raw/master/csl-citation.json"} </w:instrText>
      </w:r>
      <w:r w:rsidRPr="00943BE6">
        <w:rPr>
          <w:rFonts w:ascii="Palatino Linotype" w:hAnsi="Palatino Linotype"/>
        </w:rPr>
        <w:fldChar w:fldCharType="separate"/>
      </w:r>
      <w:r w:rsidRPr="00943BE6">
        <w:rPr>
          <w:rFonts w:ascii="Palatino Linotype" w:hAnsi="Palatino Linotype"/>
        </w:rPr>
        <w:t>[11]</w:t>
      </w:r>
      <w:r w:rsidRPr="00943BE6">
        <w:rPr>
          <w:rFonts w:ascii="Palatino Linotype" w:hAnsi="Palatino Linotype"/>
        </w:rPr>
        <w:fldChar w:fldCharType="end"/>
      </w:r>
      <w:r w:rsidRPr="00943BE6">
        <w:rPr>
          <w:rFonts w:ascii="Palatino Linotype" w:hAnsi="Palatino Linotype"/>
        </w:rPr>
        <w:t xml:space="preserve">, which addresses the vanishing gradient problem inherent in traditional RNNs by utilizing a memory cell composed of input, output, and forget gates to regulate information flow and learn long-term dependencies. Building upon this, the Bi-LSTM extends the standard architecture by processing the input sequence in both forward and backward directions, thereby capturing context from both past and future states simultaneously to enhance feature representation </w:t>
      </w:r>
      <w:r w:rsidRPr="00943BE6">
        <w:rPr>
          <w:rFonts w:ascii="Palatino Linotype" w:hAnsi="Palatino Linotype"/>
        </w:rPr>
        <w:fldChar w:fldCharType="begin"/>
      </w:r>
      <w:r w:rsidRPr="00943BE6">
        <w:rPr>
          <w:rFonts w:ascii="Palatino Linotype" w:hAnsi="Palatino Linotype"/>
        </w:rPr>
        <w:instrText xml:space="preserve"> ADDIN ZOTERO_ITEM CSL_CITATION {"citationID":"cudFWGEB","properties":{"formattedCitation":"[5]","plainCitation":"[5]","noteIndex":0},"citationItems":[{"id":"6m13q9SM/Ts0M0c0C","uris":["http://zotero.org/users/local/amki6lP9/items/9FDNPVPQ"],"itemData":{"id":"6m13q9SM/Ts0M0c0C","type":"article","abstract":"Machine and deep learning-based algorithms are the emerging approaches in addressing prediction problems in time series. These techniques have been shown to produce more accurate results than conventional regression-based modeling. It has been reported that artificial Recurrent Neural Networks (RNN) with memory, such as Long Short-Term Memory (LSTM), are superior compared to Autoregressive Integrated Moving Average (ARIMA) with a large margin. The LSTM-based models incorporate additional \"gates\" for the purpose of memorizing longer sequences of input data. The major question is that whether the gates incorporated in the LSTM architecture already offers a good prediction and whether additional training of data would be necessary to further improve the prediction. Bidirectional LSTMs (BiLSTMs) enable additional training by traversing the input data twice (i.e., 1) left-to-right, and 2) right-to-left). The research question of interest is then whether BiLSTM, with additional training capability, outperforms regular unidirectional LSTM. This paper reports a behavioral analysis and comparison of BiLSTM and LSTM models. The objective is to explore to what extend additional layers of training of data would be beneficial to tune the involved parameters. The results show that additional training of data and thus BiLSTM-based modeling offers better predictions than regular LSTM-based models. More specifically, it was observed that BiLSTM models provide better predictions compared to ARIMA and LSTM models. It was also observed that BiLSTM models reach the equilibrium much slower than LSTM-based models.","DOI":"10.48550/arXiv.1911.09512","note":"arXiv:1911.09512 [cs]","number":"arXiv:1911.09512","publisher":"arXiv","source":"arXiv.org","title":"A Comparative Analysis of Forecasting Financial Time Series Using ARIMA, LSTM, and BiLSTM","URL":"http://arxiv.org/abs/1911.09512","author":[{"family":"Siami-Namini","given":"Sima"},{"family":"Tavakoli","given":"Neda"},{"family":"Namin","given":"Akbar Siami"}],"accessed":{"date-parts":[["2025",6,27]]},"issued":{"date-parts":[["2019",11,21]]}}}],"schema":"https://github.com/citation-style-language/schema/raw/master/csl-citation.json"} </w:instrText>
      </w:r>
      <w:r w:rsidRPr="00943BE6">
        <w:rPr>
          <w:rFonts w:ascii="Palatino Linotype" w:hAnsi="Palatino Linotype"/>
        </w:rPr>
        <w:fldChar w:fldCharType="separate"/>
      </w:r>
      <w:r w:rsidRPr="00943BE6">
        <w:rPr>
          <w:rFonts w:ascii="Palatino Linotype" w:hAnsi="Palatino Linotype"/>
        </w:rPr>
        <w:t>[5]</w:t>
      </w:r>
      <w:r w:rsidRPr="00943BE6">
        <w:rPr>
          <w:rFonts w:ascii="Palatino Linotype" w:hAnsi="Palatino Linotype"/>
        </w:rPr>
        <w:fldChar w:fldCharType="end"/>
      </w:r>
      <w:r w:rsidRPr="00943BE6">
        <w:rPr>
          <w:rFonts w:ascii="Palatino Linotype" w:hAnsi="Palatino Linotype"/>
        </w:rPr>
        <w:t xml:space="preserve">, </w:t>
      </w:r>
      <w:r w:rsidRPr="00943BE6">
        <w:rPr>
          <w:rFonts w:ascii="Palatino Linotype" w:hAnsi="Palatino Linotype"/>
        </w:rPr>
        <w:fldChar w:fldCharType="begin"/>
      </w:r>
      <w:r w:rsidRPr="00943BE6">
        <w:rPr>
          <w:rFonts w:ascii="Palatino Linotype" w:hAnsi="Palatino Linotype"/>
        </w:rPr>
        <w:instrText xml:space="preserve"> ADDIN ZOTERO_ITEM CSL_CITATION {"citationID":"TQejTGjU","properties":{"formattedCitation":"[12]","plainCitation":"[12]","noteIndex":0},"citationItems":[{"id":855,"uris":["http://zotero.org/users/local/DHziEHyZ/items/F9I76RL3"],"itemData":{"id":855,"type":"paper-conference","abstract":"Cryptocurrencies are a revolution in the domain of economics, currency, and trade, Bitcoin being the prime among them. With the ever increasing demand and limited number of bitcoins available, bitcoin as well as other cryptocurrencies has been a hot topic among economists, traders, inverters, and researchers. Although these coins based on blockchain are phenomenal, the volatile nature of the cryptocurrency markets has spurred significant interest in developing accurate prediction models to aid investors and market participants. This research paper examines the application of the Bidirectional Long Short-Term Memory model for predicting Bitcoin prices. This study uses historical Bitcoin price data and features such as opening prices, closing prices, and trading volumes to predict the target closing prices for Bitcoins. The study evaluates the performance of the Bi-LSTM model against comparative models, considering various relevant metrics. It was observed that Bi-LSTM performs significantly better among other regression models in capturing the inherent volatility and non-linearity of cryptocurrency markets. Our proposed model outperformed previous studies in various reported metrics. Additionally, we explored the impact of various hyperparameters and input features on the model’s performance to achieve an ideal state. Insights obtained by conducting this study would eventually contribute to an extensive understanding of the potential of deep learning techniques in forecasting cryptocurrency prices, offering valuable implications for investors and risk management strategies in the evolving landscape of digital assets.","container-title":"2024 3rd International Conference on Computational Modelling, Simulation and Optimization (ICCMSO)","DOI":"10.1109/ICCMSO61761.2024.00035","event-title":"2024 3rd International Conference on Computational Modelling, Simulation and Optimization (ICCMSO)","page":"114-119","source":"IEEE Xplore","title":"Predictive Analysis of Bitcoin Prices Using Bidirectional Long Short-Term Memory Networks","URL":"https://ieeexplore.ieee.org/document/10638354","author":[{"family":"Singh","given":"Prabhnoor"},{"family":"Goel","given":"Paurav"},{"family":"Bajaj","given":"Rohit"}],"accessed":{"date-parts":[["2026",1,8]]},"issued":{"date-parts":[["2024",6]]}}}],"schema":"https://github.com/citation-style-language/schema/raw/master/csl-citation.json"} </w:instrText>
      </w:r>
      <w:r w:rsidRPr="00943BE6">
        <w:rPr>
          <w:rFonts w:ascii="Palatino Linotype" w:hAnsi="Palatino Linotype"/>
        </w:rPr>
        <w:fldChar w:fldCharType="separate"/>
      </w:r>
      <w:r w:rsidRPr="00943BE6">
        <w:rPr>
          <w:rFonts w:ascii="Palatino Linotype" w:hAnsi="Palatino Linotype"/>
        </w:rPr>
        <w:t>[12]</w:t>
      </w:r>
      <w:r w:rsidRPr="00943BE6">
        <w:rPr>
          <w:rFonts w:ascii="Palatino Linotype" w:hAnsi="Palatino Linotype"/>
        </w:rPr>
        <w:fldChar w:fldCharType="end"/>
      </w:r>
      <w:r w:rsidRPr="00943BE6">
        <w:rPr>
          <w:rFonts w:ascii="Palatino Linotype" w:hAnsi="Palatino Linotype"/>
        </w:rPr>
        <w:t xml:space="preserve">. We also evaluate the 1D-CNN </w:t>
      </w:r>
      <w:r w:rsidRPr="00943BE6">
        <w:rPr>
          <w:rFonts w:ascii="Palatino Linotype" w:hAnsi="Palatino Linotype"/>
        </w:rPr>
        <w:fldChar w:fldCharType="begin"/>
      </w:r>
      <w:r w:rsidRPr="00943BE6">
        <w:rPr>
          <w:rFonts w:ascii="Palatino Linotype" w:hAnsi="Palatino Linotype"/>
        </w:rPr>
        <w:instrText xml:space="preserve"> ADDIN ZOTERO_ITEM CSL_CITATION {"citationID":"h0KcyIxc","properties":{"formattedCitation":"[16]","plainCitation":"[16]","noteIndex":0},"citationItems":[{"id":"6m13q9SM/UT4DoDYy","uris":["http://zotero.org/users/16775479/items/KHUD3SY9"],"itemData":{"id":"6m13q9SM/UT4DoDYy","type":"article-journal","abstract":"In this study, aiming at the problem that the price of Bitcoin varies greatly and is difficult to predict, a hybrid neural network model based on convolutional neural network (CNN) and long short‐term memory (LSTM) neural network is proposed. The transaction data of Bitcoin itself, as well as external information, such as macroeconomic variables and investor attention, are taken as input. Firstly, CNN is used for feature extraction. Then the feature vectors are input into LSTM for training and forecasting the short‐term price of Bitcoin. The result shows that the CNN‐LSTM hybrid neural network can effectively improve the accuracy of value prediction and direction prediction compared with the single structure neural network. The finding has important implications for researchers and investors in the digital currencies market.","container-title":"The Journal of Engineering","DOI":"10.1049/joe.2019.1203","ISSN":"2051-3305, 2051-3305","issue":"13","language":"en","license":"http://creativecommons.org/licenses/by/3.0/","note":"publisher: Institution of Engineering and Technology (IET)","page":"344-347","source":"Crossref","title":"Bitcoin price forecasting method based on CNN‐LSTM hybrid neural network model","volume":"2020","author":[{"family":"Li","given":"Yan"},{"family":"Dai","given":"Wei"}],"issued":{"date-parts":[["2020",7]]}}}],"schema":"https://github.com/citation-style-language/schema/raw/master/csl-citation.json"} </w:instrText>
      </w:r>
      <w:r w:rsidRPr="00943BE6">
        <w:rPr>
          <w:rFonts w:ascii="Palatino Linotype" w:hAnsi="Palatino Linotype"/>
        </w:rPr>
        <w:fldChar w:fldCharType="separate"/>
      </w:r>
      <w:r w:rsidRPr="00943BE6">
        <w:rPr>
          <w:rFonts w:ascii="Palatino Linotype" w:hAnsi="Palatino Linotype"/>
        </w:rPr>
        <w:t>[16]</w:t>
      </w:r>
      <w:r w:rsidRPr="00943BE6">
        <w:rPr>
          <w:rFonts w:ascii="Palatino Linotype" w:hAnsi="Palatino Linotype"/>
        </w:rPr>
        <w:fldChar w:fldCharType="end"/>
      </w:r>
      <w:r w:rsidRPr="00943BE6">
        <w:rPr>
          <w:rFonts w:ascii="Palatino Linotype" w:hAnsi="Palatino Linotype"/>
        </w:rPr>
        <w:t xml:space="preserve">, which effectively employs convolutional filters to extract local features and short-term patterns from temporal sequences. Finally, the comparison includes the Transformer model, introduced by Vaswani et al. </w:t>
      </w:r>
      <w:r w:rsidRPr="00943BE6">
        <w:rPr>
          <w:rFonts w:ascii="Palatino Linotype" w:hAnsi="Palatino Linotype"/>
        </w:rPr>
        <w:fldChar w:fldCharType="begin"/>
      </w:r>
      <w:r w:rsidRPr="00943BE6">
        <w:rPr>
          <w:rFonts w:ascii="Palatino Linotype" w:hAnsi="Palatino Linotype"/>
        </w:rPr>
        <w:instrText xml:space="preserve"> ADDIN ZOTERO_ITEM CSL_CITATION {"citationID":"tlRxKv8p","properties":{"formattedCitation":"[18]","plainCitation":"[18]","noteIndex":0},"citationItems":[{"id":"6m13q9SM/VFIS8Q9v","uris":["http://zotero.org/users/16775479/items/22VLKWEF"],"itemData":{"id":"6m13q9SM/VFIS8Q9v","type":"article-journal","container-title":"Advances in neural information processing systems","page":"I","source":"Google Scholar","title":"Attention is all you need","volume":"30","author":[{"family":"Ashish","given":"Vaswani"}],"issued":{"date-parts":[["2017"]]}}}],"schema":"https://github.com/citation-style-language/schema/raw/master/csl-citation.json"} </w:instrText>
      </w:r>
      <w:r w:rsidRPr="00943BE6">
        <w:rPr>
          <w:rFonts w:ascii="Palatino Linotype" w:hAnsi="Palatino Linotype"/>
        </w:rPr>
        <w:fldChar w:fldCharType="separate"/>
      </w:r>
      <w:r w:rsidRPr="00943BE6">
        <w:rPr>
          <w:rFonts w:ascii="Palatino Linotype" w:hAnsi="Palatino Linotype"/>
        </w:rPr>
        <w:t>[18]</w:t>
      </w:r>
      <w:r w:rsidRPr="00943BE6">
        <w:rPr>
          <w:rFonts w:ascii="Palatino Linotype" w:hAnsi="Palatino Linotype"/>
        </w:rPr>
        <w:fldChar w:fldCharType="end"/>
      </w:r>
      <w:r w:rsidRPr="00943BE6">
        <w:rPr>
          <w:rFonts w:ascii="Palatino Linotype" w:hAnsi="Palatino Linotype"/>
        </w:rPr>
        <w:t xml:space="preserve">, which represents a paradigm shift from recurrent processing by relying entirely on self-attention </w:t>
      </w:r>
      <w:r w:rsidRPr="00943BE6">
        <w:rPr>
          <w:rFonts w:ascii="Palatino Linotype" w:hAnsi="Palatino Linotype"/>
        </w:rPr>
        <w:lastRenderedPageBreak/>
        <w:t>mechanisms to weigh the significance of different time steps, theoretically facilitating the modeling of global dependencies within the series.</w:t>
      </w:r>
    </w:p>
    <w:p w14:paraId="4F8D5251" w14:textId="77777777" w:rsidR="00DA130A" w:rsidRPr="00943BE6" w:rsidRDefault="00DA130A" w:rsidP="004F5017">
      <w:pPr>
        <w:pStyle w:val="heading1"/>
        <w:tabs>
          <w:tab w:val="left" w:pos="567"/>
        </w:tabs>
        <w:spacing w:before="120" w:after="120" w:line="360" w:lineRule="auto"/>
        <w:ind w:left="0" w:firstLine="0"/>
        <w:rPr>
          <w:rFonts w:ascii="Palatino Linotype" w:hAnsi="Palatino Linotype"/>
          <w:szCs w:val="24"/>
        </w:rPr>
      </w:pPr>
      <w:r w:rsidRPr="00943BE6">
        <w:rPr>
          <w:rFonts w:ascii="Palatino Linotype" w:hAnsi="Palatino Linotype"/>
          <w:szCs w:val="24"/>
        </w:rPr>
        <w:t>Experiment</w:t>
      </w:r>
    </w:p>
    <w:p w14:paraId="7B9BD69F" w14:textId="77777777" w:rsidR="00DA130A" w:rsidRPr="00943BE6" w:rsidRDefault="00DA130A" w:rsidP="001C7C89">
      <w:pPr>
        <w:pStyle w:val="heading2"/>
        <w:spacing w:before="120" w:after="120" w:line="360" w:lineRule="auto"/>
        <w:rPr>
          <w:rFonts w:ascii="Palatino Linotype" w:hAnsi="Palatino Linotype"/>
          <w:bCs/>
          <w:color w:val="000000" w:themeColor="text1"/>
        </w:rPr>
      </w:pPr>
      <w:r w:rsidRPr="00943BE6">
        <w:rPr>
          <w:rFonts w:ascii="Palatino Linotype" w:hAnsi="Palatino Linotype"/>
          <w:bCs/>
          <w:color w:val="000000" w:themeColor="text1"/>
        </w:rPr>
        <w:t>Dataset and Preprocessing</w:t>
      </w:r>
    </w:p>
    <w:p w14:paraId="336000ED" w14:textId="785C8401" w:rsidR="00DA130A" w:rsidRPr="00943BE6" w:rsidRDefault="00DA130A" w:rsidP="001C7C89">
      <w:pPr>
        <w:pStyle w:val="p1a"/>
        <w:spacing w:before="120" w:after="120" w:line="360" w:lineRule="auto"/>
        <w:rPr>
          <w:rFonts w:ascii="Palatino Linotype" w:hAnsi="Palatino Linotype"/>
        </w:rPr>
      </w:pPr>
      <w:r w:rsidRPr="00943BE6">
        <w:rPr>
          <w:rFonts w:ascii="Palatino Linotype" w:hAnsi="Palatino Linotype"/>
        </w:rPr>
        <w:t>This study uses a daily Bitcoin price dataset (BTC) from Yahoo Finance spanning September 17, 2014</w:t>
      </w:r>
      <w:r w:rsidR="00767061" w:rsidRPr="00943BE6">
        <w:rPr>
          <w:rFonts w:ascii="Palatino Linotype" w:hAnsi="Palatino Linotype"/>
        </w:rPr>
        <w:t>,</w:t>
      </w:r>
      <w:r w:rsidRPr="00943BE6">
        <w:rPr>
          <w:rFonts w:ascii="Palatino Linotype" w:hAnsi="Palatino Linotype"/>
        </w:rPr>
        <w:t xml:space="preserve"> to June 11, 2025, comprising 3,922 trading days. Each record includes open, high, low, close prices, and volume. A sliding window approach converts the time series into </w:t>
      </w:r>
      <w:r w:rsidR="00767061" w:rsidRPr="00943BE6">
        <w:rPr>
          <w:rFonts w:ascii="Palatino Linotype" w:hAnsi="Palatino Linotype"/>
        </w:rPr>
        <w:t xml:space="preserve">a </w:t>
      </w:r>
      <w:r w:rsidRPr="00943BE6">
        <w:rPr>
          <w:rFonts w:ascii="Palatino Linotype" w:hAnsi="Palatino Linotype"/>
        </w:rPr>
        <w:t xml:space="preserve">supervised learning form, mapping past observations to future prices. Three configurations are evaluated: (10, 3), (15, 5), and (21, 7), where the first number is </w:t>
      </w:r>
      <w:r w:rsidR="00767061" w:rsidRPr="00943BE6">
        <w:rPr>
          <w:rFonts w:ascii="Palatino Linotype" w:hAnsi="Palatino Linotype"/>
        </w:rPr>
        <w:t xml:space="preserve">the </w:t>
      </w:r>
      <w:r w:rsidRPr="00943BE6">
        <w:rPr>
          <w:rFonts w:ascii="Palatino Linotype" w:hAnsi="Palatino Linotype"/>
        </w:rPr>
        <w:t xml:space="preserve">input window size and the second is </w:t>
      </w:r>
      <w:r w:rsidR="00767061" w:rsidRPr="00943BE6">
        <w:rPr>
          <w:rFonts w:ascii="Palatino Linotype" w:hAnsi="Palatino Linotype"/>
        </w:rPr>
        <w:t xml:space="preserve">the </w:t>
      </w:r>
      <w:r w:rsidRPr="00943BE6">
        <w:rPr>
          <w:rFonts w:ascii="Palatino Linotype" w:hAnsi="Palatino Linotype"/>
        </w:rPr>
        <w:t xml:space="preserve">forecast horizon. Input features (open, high, low, </w:t>
      </w:r>
      <w:r w:rsidR="00521392" w:rsidRPr="00943BE6">
        <w:rPr>
          <w:rFonts w:ascii="Palatino Linotype" w:hAnsi="Palatino Linotype"/>
        </w:rPr>
        <w:t xml:space="preserve">close, </w:t>
      </w:r>
      <w:r w:rsidRPr="00943BE6">
        <w:rPr>
          <w:rFonts w:ascii="Palatino Linotype" w:hAnsi="Palatino Linotype"/>
        </w:rPr>
        <w:t>volume) are normalized to [0, 1]; outputs are future close prices. Data is split chronologically: 80% for training-validation (3:1 split) and 20% for testing, ensuring consistent evaluation across models.</w:t>
      </w:r>
    </w:p>
    <w:p w14:paraId="0510595F" w14:textId="77777777" w:rsidR="00DA130A" w:rsidRPr="00943BE6" w:rsidRDefault="00DA130A" w:rsidP="001C7C89">
      <w:pPr>
        <w:pStyle w:val="heading2"/>
        <w:spacing w:before="120" w:after="120" w:line="360" w:lineRule="auto"/>
        <w:rPr>
          <w:rFonts w:ascii="Palatino Linotype" w:hAnsi="Palatino Linotype"/>
          <w:bCs/>
          <w:color w:val="000000" w:themeColor="text1"/>
        </w:rPr>
      </w:pPr>
      <w:r w:rsidRPr="00943BE6">
        <w:rPr>
          <w:rFonts w:ascii="Palatino Linotype" w:hAnsi="Palatino Linotype"/>
          <w:bCs/>
          <w:color w:val="000000" w:themeColor="text1"/>
        </w:rPr>
        <w:t>Model Training and Evaluation</w:t>
      </w:r>
    </w:p>
    <w:p w14:paraId="441F4A11" w14:textId="4F92ECEB" w:rsidR="00DA130A" w:rsidRPr="00943BE6" w:rsidRDefault="00DA130A" w:rsidP="00B229D9">
      <w:pPr>
        <w:pStyle w:val="p1a"/>
        <w:spacing w:before="120" w:after="120" w:line="360" w:lineRule="auto"/>
        <w:rPr>
          <w:rFonts w:ascii="Palatino Linotype" w:hAnsi="Palatino Linotype"/>
        </w:rPr>
      </w:pPr>
      <w:r w:rsidRPr="00943BE6">
        <w:rPr>
          <w:rFonts w:ascii="Palatino Linotype" w:hAnsi="Palatino Linotype"/>
        </w:rPr>
        <w:t xml:space="preserve">All models were implemented using TensorFlow and Keras, and trained on Google Colaboratory with GPU acceleration for faster convergence. Early stopping (patience = 30) with automatic weight restoration and learning rate reduction (for Transformer) </w:t>
      </w:r>
      <w:r w:rsidR="00FF5757" w:rsidRPr="00943BE6">
        <w:rPr>
          <w:rFonts w:ascii="Palatino Linotype" w:hAnsi="Palatino Linotype"/>
        </w:rPr>
        <w:t>was</w:t>
      </w:r>
      <w:r w:rsidRPr="00943BE6">
        <w:rPr>
          <w:rFonts w:ascii="Palatino Linotype" w:hAnsi="Palatino Linotype"/>
        </w:rPr>
        <w:t xml:space="preserve"> applied to improve generalization. </w:t>
      </w:r>
    </w:p>
    <w:p w14:paraId="5EE45D7B" w14:textId="337727BC" w:rsidR="00DA130A" w:rsidRPr="00943BE6" w:rsidRDefault="00DA130A" w:rsidP="00227B56">
      <w:pPr>
        <w:spacing w:before="120" w:after="120" w:line="360" w:lineRule="auto"/>
        <w:ind w:firstLine="720"/>
        <w:rPr>
          <w:rFonts w:ascii="Palatino Linotype" w:hAnsi="Palatino Linotype"/>
        </w:rPr>
      </w:pPr>
      <w:r w:rsidRPr="00943BE6">
        <w:rPr>
          <w:rFonts w:ascii="Palatino Linotype" w:hAnsi="Palatino Linotype"/>
        </w:rPr>
        <w:t>The predictive performan</w:t>
      </w:r>
      <w:r w:rsidR="006200BD" w:rsidRPr="00943BE6">
        <w:rPr>
          <w:rFonts w:ascii="Palatino Linotype" w:hAnsi="Palatino Linotype"/>
        </w:rPr>
        <w:t xml:space="preserve">ce of five deep learning models - </w:t>
      </w:r>
      <w:r w:rsidRPr="00943BE6">
        <w:rPr>
          <w:rFonts w:ascii="Palatino Linotype" w:hAnsi="Palatino Linotype"/>
        </w:rPr>
        <w:t>LSTM, GRU, B</w:t>
      </w:r>
      <w:r w:rsidR="006200BD" w:rsidRPr="00943BE6">
        <w:rPr>
          <w:rFonts w:ascii="Palatino Linotype" w:hAnsi="Palatino Linotype"/>
        </w:rPr>
        <w:t xml:space="preserve">i-LSTM, Transformer, and 1D-CNN - </w:t>
      </w:r>
      <w:r w:rsidRPr="00943BE6">
        <w:rPr>
          <w:rFonts w:ascii="Palatino Linotype" w:hAnsi="Palatino Linotype"/>
        </w:rPr>
        <w:t>was systematically evaluated across three forecasting configurations (10-3, 15-5, 21-7). Evaluation was conducted using f</w:t>
      </w:r>
      <w:r w:rsidR="00E83293" w:rsidRPr="00943BE6">
        <w:rPr>
          <w:rFonts w:ascii="Palatino Linotype" w:hAnsi="Palatino Linotype"/>
        </w:rPr>
        <w:t>our</w:t>
      </w:r>
      <w:r w:rsidRPr="00943BE6">
        <w:rPr>
          <w:rFonts w:ascii="Palatino Linotype" w:hAnsi="Palatino Linotype"/>
        </w:rPr>
        <w:t xml:space="preserve"> standard regression metrics: </w:t>
      </w:r>
      <w:bookmarkStart w:id="10" w:name="_Hlk202217776"/>
      <w:r w:rsidRPr="00943BE6">
        <w:rPr>
          <w:rFonts w:ascii="Palatino Linotype" w:hAnsi="Palatino Linotype"/>
        </w:rPr>
        <w:t>MSE, RMSE, MAE,</w:t>
      </w:r>
      <w:r w:rsidR="006C38AB" w:rsidRPr="00943BE6">
        <w:rPr>
          <w:rFonts w:ascii="Palatino Linotype" w:hAnsi="Palatino Linotype"/>
        </w:rPr>
        <w:t xml:space="preserve"> MAPE </w:t>
      </w:r>
      <w:r w:rsidRPr="00943BE6">
        <w:rPr>
          <w:rFonts w:ascii="Palatino Linotype" w:hAnsi="Palatino Linotype"/>
        </w:rPr>
        <w:t>and R²</w:t>
      </w:r>
      <w:bookmarkEnd w:id="10"/>
      <w:r w:rsidRPr="00943BE6">
        <w:rPr>
          <w:rFonts w:ascii="Palatino Linotype" w:hAnsi="Palatino Linotype"/>
        </w:rPr>
        <w:t xml:space="preserve">. These metrics are summarized in </w:t>
      </w:r>
      <w:bookmarkStart w:id="11" w:name="_Ref202007242"/>
      <w:bookmarkStart w:id="12" w:name="_Ref202007237"/>
      <w:r w:rsidR="00347693" w:rsidRPr="00943BE6">
        <w:rPr>
          <w:rFonts w:ascii="Palatino Linotype" w:hAnsi="Palatino Linotype"/>
        </w:rPr>
        <w:fldChar w:fldCharType="begin"/>
      </w:r>
      <w:r w:rsidR="00347693" w:rsidRPr="00943BE6">
        <w:rPr>
          <w:rFonts w:ascii="Palatino Linotype" w:hAnsi="Palatino Linotype"/>
        </w:rPr>
        <w:instrText xml:space="preserve"> REF _Ref203052926 \h </w:instrText>
      </w:r>
      <w:r w:rsidR="00540E2A" w:rsidRPr="00943BE6">
        <w:rPr>
          <w:rFonts w:ascii="Palatino Linotype" w:hAnsi="Palatino Linotype"/>
        </w:rPr>
        <w:instrText xml:space="preserve"> \* MERGEFORMAT </w:instrText>
      </w:r>
      <w:r w:rsidR="00347693" w:rsidRPr="00943BE6">
        <w:rPr>
          <w:rFonts w:ascii="Palatino Linotype" w:hAnsi="Palatino Linotype"/>
        </w:rPr>
      </w:r>
      <w:r w:rsidR="00347693" w:rsidRPr="00943BE6">
        <w:rPr>
          <w:rFonts w:ascii="Palatino Linotype" w:hAnsi="Palatino Linotype"/>
        </w:rPr>
        <w:fldChar w:fldCharType="separate"/>
      </w:r>
      <w:r w:rsidR="0085441D" w:rsidRPr="00943BE6">
        <w:rPr>
          <w:rFonts w:ascii="Palatino Linotype" w:hAnsi="Palatino Linotype"/>
          <w:iCs/>
        </w:rPr>
        <w:t xml:space="preserve">Table </w:t>
      </w:r>
      <w:r w:rsidR="0085441D" w:rsidRPr="00943BE6">
        <w:rPr>
          <w:rFonts w:ascii="Palatino Linotype" w:hAnsi="Palatino Linotype"/>
          <w:iCs/>
          <w:noProof/>
        </w:rPr>
        <w:t>1</w:t>
      </w:r>
      <w:r w:rsidR="00347693" w:rsidRPr="00943BE6">
        <w:rPr>
          <w:rFonts w:ascii="Palatino Linotype" w:hAnsi="Palatino Linotype"/>
        </w:rPr>
        <w:fldChar w:fldCharType="end"/>
      </w:r>
      <w:r w:rsidR="00347693" w:rsidRPr="00943BE6">
        <w:rPr>
          <w:rFonts w:ascii="Palatino Linotype" w:hAnsi="Palatino Linotype"/>
        </w:rPr>
        <w:t>.</w:t>
      </w:r>
    </w:p>
    <w:p w14:paraId="79E31989" w14:textId="13C4FB33" w:rsidR="00DA130A" w:rsidRPr="00943BE6" w:rsidRDefault="00DA130A" w:rsidP="00DE58BB">
      <w:pPr>
        <w:pStyle w:val="ChthchBngbiu-Hnhv"/>
        <w:keepNext/>
        <w:spacing w:before="120" w:after="120" w:line="360" w:lineRule="auto"/>
        <w:rPr>
          <w:i w:val="0"/>
          <w:iCs/>
          <w:sz w:val="18"/>
          <w:szCs w:val="18"/>
        </w:rPr>
      </w:pPr>
      <w:bookmarkStart w:id="13" w:name="_Ref203052926"/>
      <w:bookmarkStart w:id="14" w:name="_Ref203052922"/>
      <w:r w:rsidRPr="00943BE6">
        <w:rPr>
          <w:i w:val="0"/>
          <w:iCs/>
          <w:sz w:val="18"/>
          <w:szCs w:val="18"/>
        </w:rPr>
        <w:t xml:space="preserve">Table </w:t>
      </w:r>
      <w:r w:rsidRPr="00943BE6">
        <w:rPr>
          <w:i w:val="0"/>
          <w:iCs/>
          <w:sz w:val="18"/>
          <w:szCs w:val="18"/>
        </w:rPr>
        <w:fldChar w:fldCharType="begin"/>
      </w:r>
      <w:r w:rsidRPr="00943BE6">
        <w:rPr>
          <w:i w:val="0"/>
          <w:iCs/>
          <w:sz w:val="18"/>
          <w:szCs w:val="18"/>
        </w:rPr>
        <w:instrText xml:space="preserve"> SEQ Table \* ARABIC </w:instrText>
      </w:r>
      <w:r w:rsidRPr="00943BE6">
        <w:rPr>
          <w:i w:val="0"/>
          <w:iCs/>
          <w:sz w:val="18"/>
          <w:szCs w:val="18"/>
        </w:rPr>
        <w:fldChar w:fldCharType="separate"/>
      </w:r>
      <w:r w:rsidR="00BE7C67" w:rsidRPr="00943BE6">
        <w:rPr>
          <w:i w:val="0"/>
          <w:iCs/>
          <w:noProof/>
          <w:sz w:val="18"/>
          <w:szCs w:val="18"/>
        </w:rPr>
        <w:t>1</w:t>
      </w:r>
      <w:r w:rsidRPr="00943BE6">
        <w:rPr>
          <w:i w:val="0"/>
          <w:iCs/>
          <w:noProof/>
          <w:sz w:val="18"/>
          <w:szCs w:val="18"/>
        </w:rPr>
        <w:fldChar w:fldCharType="end"/>
      </w:r>
      <w:bookmarkEnd w:id="11"/>
      <w:bookmarkEnd w:id="13"/>
      <w:r w:rsidRPr="00943BE6">
        <w:rPr>
          <w:i w:val="0"/>
          <w:iCs/>
          <w:sz w:val="18"/>
          <w:szCs w:val="18"/>
        </w:rPr>
        <w:t xml:space="preserve">. </w:t>
      </w:r>
      <w:r w:rsidRPr="00943BE6">
        <w:rPr>
          <w:b w:val="0"/>
          <w:bCs/>
          <w:i w:val="0"/>
          <w:iCs/>
          <w:sz w:val="18"/>
          <w:szCs w:val="18"/>
        </w:rPr>
        <w:t>Definitions and interpretations of evaluation metrics used to assess model performance</w:t>
      </w:r>
      <w:bookmarkEnd w:id="12"/>
      <w:bookmarkEnd w:id="14"/>
    </w:p>
    <w:tbl>
      <w:tblPr>
        <w:tblStyle w:val="TableGridLight"/>
        <w:tblW w:w="0" w:type="auto"/>
        <w:jc w:val="center"/>
        <w:tblLook w:val="04A0" w:firstRow="1" w:lastRow="0" w:firstColumn="1" w:lastColumn="0" w:noHBand="0" w:noVBand="1"/>
      </w:tblPr>
      <w:tblGrid>
        <w:gridCol w:w="1170"/>
        <w:gridCol w:w="4295"/>
      </w:tblGrid>
      <w:tr w:rsidR="00DA130A" w:rsidRPr="00943BE6" w14:paraId="37A7A8C9" w14:textId="77777777" w:rsidTr="00C01D82">
        <w:trPr>
          <w:trHeight w:val="429"/>
          <w:jc w:val="center"/>
        </w:trPr>
        <w:tc>
          <w:tcPr>
            <w:tcW w:w="1170" w:type="dxa"/>
          </w:tcPr>
          <w:p w14:paraId="1857A584" w14:textId="77777777" w:rsidR="00DA130A" w:rsidRPr="00943BE6" w:rsidRDefault="00DA130A" w:rsidP="00DE58BB">
            <w:pPr>
              <w:pStyle w:val="Nidungtrongbng"/>
              <w:keepNext/>
              <w:spacing w:before="0" w:after="0" w:line="360" w:lineRule="auto"/>
              <w:ind w:firstLine="230"/>
              <w:jc w:val="center"/>
              <w:rPr>
                <w:b/>
                <w:bCs/>
                <w:sz w:val="20"/>
                <w:szCs w:val="20"/>
              </w:rPr>
            </w:pPr>
            <w:bookmarkStart w:id="15" w:name="_Hlk218236047"/>
            <w:r w:rsidRPr="00943BE6">
              <w:rPr>
                <w:b/>
                <w:bCs/>
                <w:sz w:val="20"/>
                <w:szCs w:val="20"/>
              </w:rPr>
              <w:t>Metric</w:t>
            </w:r>
          </w:p>
        </w:tc>
        <w:tc>
          <w:tcPr>
            <w:tcW w:w="4295" w:type="dxa"/>
          </w:tcPr>
          <w:p w14:paraId="75757F75" w14:textId="77777777" w:rsidR="00DA130A" w:rsidRPr="00943BE6" w:rsidRDefault="00DA130A" w:rsidP="00DE58BB">
            <w:pPr>
              <w:pStyle w:val="Nidungtrongbng"/>
              <w:keepNext/>
              <w:spacing w:before="0" w:after="0" w:line="360" w:lineRule="auto"/>
              <w:ind w:firstLine="230"/>
              <w:jc w:val="center"/>
              <w:rPr>
                <w:b/>
                <w:bCs/>
                <w:sz w:val="20"/>
                <w:szCs w:val="20"/>
              </w:rPr>
            </w:pPr>
            <w:r w:rsidRPr="00943BE6">
              <w:rPr>
                <w:b/>
                <w:bCs/>
                <w:sz w:val="20"/>
                <w:szCs w:val="20"/>
              </w:rPr>
              <w:t>Formula</w:t>
            </w:r>
          </w:p>
        </w:tc>
      </w:tr>
      <w:tr w:rsidR="00DA130A" w:rsidRPr="00943BE6" w14:paraId="6C27C63A" w14:textId="77777777" w:rsidTr="00C01D82">
        <w:trPr>
          <w:jc w:val="center"/>
        </w:trPr>
        <w:tc>
          <w:tcPr>
            <w:tcW w:w="1170" w:type="dxa"/>
          </w:tcPr>
          <w:p w14:paraId="3602F578" w14:textId="77777777" w:rsidR="00DA130A" w:rsidRPr="00943BE6" w:rsidRDefault="00DA130A" w:rsidP="00227B56">
            <w:pPr>
              <w:pStyle w:val="Nidungtrongbng"/>
              <w:spacing w:before="0" w:after="0" w:line="360" w:lineRule="auto"/>
              <w:ind w:firstLine="230"/>
              <w:jc w:val="center"/>
              <w:rPr>
                <w:b/>
                <w:bCs/>
                <w:sz w:val="20"/>
                <w:szCs w:val="20"/>
              </w:rPr>
            </w:pPr>
            <w:r w:rsidRPr="00943BE6">
              <w:rPr>
                <w:sz w:val="20"/>
                <w:szCs w:val="20"/>
              </w:rPr>
              <w:t>MSE</w:t>
            </w:r>
          </w:p>
        </w:tc>
        <w:tc>
          <w:tcPr>
            <w:tcW w:w="4295" w:type="dxa"/>
          </w:tcPr>
          <w:p w14:paraId="2A8FDD41" w14:textId="1D8E95A8" w:rsidR="00DA130A" w:rsidRPr="00943BE6" w:rsidRDefault="00116B87" w:rsidP="00227B56">
            <w:pPr>
              <w:pStyle w:val="Nidungtrongbng"/>
              <w:spacing w:before="0" w:after="0" w:line="360" w:lineRule="auto"/>
              <w:ind w:firstLine="230"/>
              <w:rPr>
                <w:sz w:val="20"/>
                <w:szCs w:val="20"/>
              </w:rPr>
            </w:pPr>
            <m:oMathPara>
              <m:oMath>
                <m:r>
                  <w:rPr>
                    <w:rFonts w:ascii="Cambria Math" w:eastAsiaTheme="minorHAnsi" w:hAnsi="Cambria Math"/>
                    <w:sz w:val="20"/>
                    <w:szCs w:val="20"/>
                  </w:rPr>
                  <m:t>MSE=</m:t>
                </m:r>
                <m:f>
                  <m:fPr>
                    <m:ctrlPr>
                      <w:rPr>
                        <w:rFonts w:ascii="Cambria Math" w:eastAsiaTheme="minorHAnsi" w:hAnsi="Cambria Math"/>
                        <w:i/>
                        <w:sz w:val="20"/>
                        <w:szCs w:val="20"/>
                      </w:rPr>
                    </m:ctrlPr>
                  </m:fPr>
                  <m:num>
                    <m:r>
                      <w:rPr>
                        <w:rFonts w:ascii="Cambria Math" w:eastAsiaTheme="minorHAnsi" w:hAnsi="Cambria Math"/>
                        <w:sz w:val="20"/>
                        <w:szCs w:val="20"/>
                      </w:rPr>
                      <m:t>1</m:t>
                    </m:r>
                  </m:num>
                  <m:den>
                    <m:r>
                      <w:rPr>
                        <w:rFonts w:ascii="Cambria Math" w:eastAsiaTheme="minorHAnsi" w:hAnsi="Cambria Math"/>
                        <w:sz w:val="20"/>
                        <w:szCs w:val="20"/>
                      </w:rPr>
                      <m:t>n</m:t>
                    </m:r>
                  </m:den>
                </m:f>
                <m:nary>
                  <m:naryPr>
                    <m:chr m:val="∑"/>
                    <m:limLoc m:val="undOvr"/>
                    <m:ctrlPr>
                      <w:rPr>
                        <w:rFonts w:ascii="Cambria Math" w:eastAsiaTheme="minorHAnsi" w:hAnsi="Cambria Math"/>
                        <w:i/>
                        <w:sz w:val="20"/>
                        <w:szCs w:val="20"/>
                      </w:rPr>
                    </m:ctrlPr>
                  </m:naryPr>
                  <m:sub>
                    <m:r>
                      <w:rPr>
                        <w:rFonts w:ascii="Cambria Math" w:eastAsiaTheme="minorHAnsi" w:hAnsi="Cambria Math"/>
                        <w:sz w:val="20"/>
                        <w:szCs w:val="20"/>
                      </w:rPr>
                      <m:t>i=1</m:t>
                    </m:r>
                  </m:sub>
                  <m:sup>
                    <m:r>
                      <w:rPr>
                        <w:rFonts w:ascii="Cambria Math" w:eastAsiaTheme="minorHAnsi" w:hAnsi="Cambria Math"/>
                        <w:sz w:val="20"/>
                        <w:szCs w:val="20"/>
                      </w:rPr>
                      <m:t>n</m:t>
                    </m:r>
                  </m:sup>
                  <m:e>
                    <m:sSup>
                      <m:sSupPr>
                        <m:ctrlPr>
                          <w:rPr>
                            <w:rFonts w:ascii="Cambria Math" w:eastAsiaTheme="minorHAnsi" w:hAnsi="Cambria Math"/>
                            <w:i/>
                            <w:sz w:val="20"/>
                            <w:szCs w:val="20"/>
                          </w:rPr>
                        </m:ctrlPr>
                      </m:sSupPr>
                      <m:e>
                        <m:r>
                          <w:rPr>
                            <w:rFonts w:ascii="Cambria Math" w:eastAsiaTheme="minorHAnsi" w:hAnsi="Cambria Math"/>
                            <w:sz w:val="20"/>
                            <w:szCs w:val="20"/>
                          </w:rPr>
                          <m:t>(</m:t>
                        </m:r>
                        <m:sSub>
                          <m:sSubPr>
                            <m:ctrlPr>
                              <w:rPr>
                                <w:rFonts w:ascii="Cambria Math" w:eastAsiaTheme="minorHAnsi" w:hAnsi="Cambria Math"/>
                                <w:i/>
                                <w:sz w:val="20"/>
                                <w:szCs w:val="20"/>
                              </w:rPr>
                            </m:ctrlPr>
                          </m:sSubPr>
                          <m:e>
                            <m:r>
                              <w:rPr>
                                <w:rFonts w:ascii="Cambria Math" w:eastAsiaTheme="minorHAnsi" w:hAnsi="Cambria Math"/>
                                <w:sz w:val="20"/>
                                <w:szCs w:val="20"/>
                              </w:rPr>
                              <m:t>y</m:t>
                            </m:r>
                          </m:e>
                          <m:sub>
                            <m:r>
                              <w:rPr>
                                <w:rFonts w:ascii="Cambria Math" w:eastAsiaTheme="minorHAnsi" w:hAnsi="Cambria Math"/>
                                <w:sz w:val="20"/>
                                <w:szCs w:val="20"/>
                              </w:rPr>
                              <m:t>i</m:t>
                            </m:r>
                          </m:sub>
                        </m:sSub>
                        <m:r>
                          <w:rPr>
                            <w:rFonts w:ascii="Cambria Math" w:eastAsiaTheme="minorHAnsi" w:hAnsi="Cambria Math"/>
                            <w:sz w:val="20"/>
                            <w:szCs w:val="20"/>
                          </w:rPr>
                          <m:t>-</m:t>
                        </m:r>
                        <m:acc>
                          <m:accPr>
                            <m:ctrlPr>
                              <w:rPr>
                                <w:rFonts w:ascii="Cambria Math" w:eastAsiaTheme="minorHAnsi" w:hAnsi="Cambria Math"/>
                                <w:i/>
                                <w:sz w:val="20"/>
                                <w:szCs w:val="20"/>
                              </w:rPr>
                            </m:ctrlPr>
                          </m:accPr>
                          <m:e>
                            <m:sSub>
                              <m:sSubPr>
                                <m:ctrlPr>
                                  <w:rPr>
                                    <w:rFonts w:ascii="Cambria Math" w:eastAsiaTheme="minorHAnsi" w:hAnsi="Cambria Math"/>
                                    <w:i/>
                                    <w:sz w:val="20"/>
                                    <w:szCs w:val="20"/>
                                  </w:rPr>
                                </m:ctrlPr>
                              </m:sSubPr>
                              <m:e>
                                <m:r>
                                  <w:rPr>
                                    <w:rFonts w:ascii="Cambria Math" w:eastAsiaTheme="minorHAnsi" w:hAnsi="Cambria Math"/>
                                    <w:sz w:val="20"/>
                                    <w:szCs w:val="20"/>
                                  </w:rPr>
                                  <m:t>y</m:t>
                                </m:r>
                              </m:e>
                              <m:sub>
                                <m:r>
                                  <w:rPr>
                                    <w:rFonts w:ascii="Cambria Math" w:eastAsiaTheme="minorHAnsi" w:hAnsi="Cambria Math"/>
                                    <w:sz w:val="20"/>
                                    <w:szCs w:val="20"/>
                                  </w:rPr>
                                  <m:t>i</m:t>
                                </m:r>
                              </m:sub>
                            </m:sSub>
                          </m:e>
                        </m:acc>
                        <m:r>
                          <w:rPr>
                            <w:rFonts w:ascii="Cambria Math" w:eastAsiaTheme="minorHAnsi" w:hAnsi="Cambria Math"/>
                            <w:sz w:val="20"/>
                            <w:szCs w:val="20"/>
                          </w:rPr>
                          <m:t>)</m:t>
                        </m:r>
                      </m:e>
                      <m:sup>
                        <m:r>
                          <w:rPr>
                            <w:rFonts w:ascii="Cambria Math" w:eastAsiaTheme="minorHAnsi" w:hAnsi="Cambria Math"/>
                            <w:sz w:val="20"/>
                            <w:szCs w:val="20"/>
                          </w:rPr>
                          <m:t>2</m:t>
                        </m:r>
                      </m:sup>
                    </m:sSup>
                  </m:e>
                </m:nary>
              </m:oMath>
            </m:oMathPara>
          </w:p>
        </w:tc>
      </w:tr>
      <w:tr w:rsidR="00DA130A" w:rsidRPr="00943BE6" w14:paraId="079596E7" w14:textId="77777777" w:rsidTr="00C01D82">
        <w:trPr>
          <w:jc w:val="center"/>
        </w:trPr>
        <w:tc>
          <w:tcPr>
            <w:tcW w:w="1170" w:type="dxa"/>
          </w:tcPr>
          <w:p w14:paraId="4CEC8113" w14:textId="77777777" w:rsidR="00DA130A" w:rsidRPr="00943BE6" w:rsidRDefault="00DA130A" w:rsidP="00227B56">
            <w:pPr>
              <w:pStyle w:val="Nidungtrongbng"/>
              <w:spacing w:before="0" w:after="0" w:line="360" w:lineRule="auto"/>
              <w:ind w:firstLine="230"/>
              <w:jc w:val="center"/>
              <w:rPr>
                <w:b/>
                <w:bCs/>
                <w:sz w:val="20"/>
                <w:szCs w:val="20"/>
              </w:rPr>
            </w:pPr>
            <w:r w:rsidRPr="00943BE6">
              <w:rPr>
                <w:sz w:val="20"/>
                <w:szCs w:val="20"/>
              </w:rPr>
              <w:t>RMSE</w:t>
            </w:r>
          </w:p>
        </w:tc>
        <w:tc>
          <w:tcPr>
            <w:tcW w:w="4295" w:type="dxa"/>
          </w:tcPr>
          <w:p w14:paraId="2820A639" w14:textId="3BECFF2F" w:rsidR="00DA130A" w:rsidRPr="00943BE6" w:rsidRDefault="00116B87" w:rsidP="00227B56">
            <w:pPr>
              <w:pStyle w:val="Nidungtrongbng"/>
              <w:spacing w:before="0" w:after="0" w:line="360" w:lineRule="auto"/>
              <w:ind w:firstLine="230"/>
              <w:rPr>
                <w:sz w:val="20"/>
                <w:szCs w:val="20"/>
              </w:rPr>
            </w:pPr>
            <m:oMathPara>
              <m:oMath>
                <m:r>
                  <w:rPr>
                    <w:rFonts w:ascii="Cambria Math" w:eastAsiaTheme="minorHAnsi" w:hAnsi="Cambria Math"/>
                    <w:sz w:val="20"/>
                    <w:szCs w:val="20"/>
                  </w:rPr>
                  <m:t>RMSE=</m:t>
                </m:r>
                <m:rad>
                  <m:radPr>
                    <m:degHide m:val="1"/>
                    <m:ctrlPr>
                      <w:rPr>
                        <w:rFonts w:ascii="Cambria Math" w:eastAsiaTheme="minorHAnsi" w:hAnsi="Cambria Math"/>
                        <w:i/>
                        <w:sz w:val="20"/>
                        <w:szCs w:val="20"/>
                      </w:rPr>
                    </m:ctrlPr>
                  </m:radPr>
                  <m:deg/>
                  <m:e>
                    <m:r>
                      <w:rPr>
                        <w:rFonts w:ascii="Cambria Math" w:eastAsiaTheme="minorHAnsi" w:hAnsi="Cambria Math"/>
                        <w:sz w:val="20"/>
                        <w:szCs w:val="20"/>
                      </w:rPr>
                      <m:t>MSE</m:t>
                    </m:r>
                  </m:e>
                </m:rad>
              </m:oMath>
            </m:oMathPara>
          </w:p>
        </w:tc>
      </w:tr>
      <w:tr w:rsidR="00DA130A" w:rsidRPr="00943BE6" w14:paraId="74563EEB" w14:textId="77777777" w:rsidTr="00C01D82">
        <w:trPr>
          <w:jc w:val="center"/>
        </w:trPr>
        <w:tc>
          <w:tcPr>
            <w:tcW w:w="1170" w:type="dxa"/>
          </w:tcPr>
          <w:p w14:paraId="360AF7D6" w14:textId="77777777" w:rsidR="00DA130A" w:rsidRPr="00943BE6" w:rsidRDefault="00DA130A" w:rsidP="00BB1040">
            <w:pPr>
              <w:pStyle w:val="Nidungtrongbng"/>
              <w:spacing w:before="0" w:after="0" w:line="360" w:lineRule="auto"/>
              <w:ind w:firstLine="230"/>
              <w:jc w:val="center"/>
              <w:rPr>
                <w:b/>
                <w:bCs/>
                <w:sz w:val="20"/>
                <w:szCs w:val="20"/>
              </w:rPr>
            </w:pPr>
            <w:r w:rsidRPr="00943BE6">
              <w:rPr>
                <w:sz w:val="20"/>
                <w:szCs w:val="20"/>
              </w:rPr>
              <w:t>MAE</w:t>
            </w:r>
          </w:p>
        </w:tc>
        <w:tc>
          <w:tcPr>
            <w:tcW w:w="4295" w:type="dxa"/>
          </w:tcPr>
          <w:p w14:paraId="5DD2A023" w14:textId="519FB906" w:rsidR="00DA130A" w:rsidRPr="00943BE6" w:rsidRDefault="00116B87" w:rsidP="00BB1040">
            <w:pPr>
              <w:pStyle w:val="Nidungtrongbng"/>
              <w:spacing w:before="0" w:after="0" w:line="360" w:lineRule="auto"/>
              <w:ind w:firstLine="230"/>
              <w:jc w:val="center"/>
              <w:rPr>
                <w:sz w:val="20"/>
                <w:szCs w:val="20"/>
              </w:rPr>
            </w:pPr>
            <m:oMathPara>
              <m:oMath>
                <m:r>
                  <w:rPr>
                    <w:rFonts w:ascii="Cambria Math" w:eastAsiaTheme="minorHAnsi" w:hAnsi="Cambria Math"/>
                    <w:sz w:val="20"/>
                    <w:szCs w:val="20"/>
                  </w:rPr>
                  <m:t>MAE=</m:t>
                </m:r>
                <m:f>
                  <m:fPr>
                    <m:ctrlPr>
                      <w:rPr>
                        <w:rFonts w:ascii="Cambria Math" w:eastAsiaTheme="minorHAnsi" w:hAnsi="Cambria Math"/>
                        <w:i/>
                        <w:sz w:val="20"/>
                        <w:szCs w:val="20"/>
                      </w:rPr>
                    </m:ctrlPr>
                  </m:fPr>
                  <m:num>
                    <m:r>
                      <w:rPr>
                        <w:rFonts w:ascii="Cambria Math" w:eastAsiaTheme="minorHAnsi" w:hAnsi="Cambria Math"/>
                        <w:sz w:val="20"/>
                        <w:szCs w:val="20"/>
                      </w:rPr>
                      <m:t>1</m:t>
                    </m:r>
                  </m:num>
                  <m:den>
                    <m:r>
                      <w:rPr>
                        <w:rFonts w:ascii="Cambria Math" w:eastAsiaTheme="minorHAnsi" w:hAnsi="Cambria Math"/>
                        <w:sz w:val="20"/>
                        <w:szCs w:val="20"/>
                      </w:rPr>
                      <m:t>n</m:t>
                    </m:r>
                  </m:den>
                </m:f>
                <m:nary>
                  <m:naryPr>
                    <m:chr m:val="∑"/>
                    <m:limLoc m:val="undOvr"/>
                    <m:ctrlPr>
                      <w:rPr>
                        <w:rFonts w:ascii="Cambria Math" w:eastAsiaTheme="minorHAnsi" w:hAnsi="Cambria Math"/>
                        <w:i/>
                        <w:sz w:val="20"/>
                        <w:szCs w:val="20"/>
                      </w:rPr>
                    </m:ctrlPr>
                  </m:naryPr>
                  <m:sub>
                    <m:r>
                      <w:rPr>
                        <w:rFonts w:ascii="Cambria Math" w:eastAsiaTheme="minorHAnsi" w:hAnsi="Cambria Math"/>
                        <w:sz w:val="20"/>
                        <w:szCs w:val="20"/>
                      </w:rPr>
                      <m:t>i=1</m:t>
                    </m:r>
                  </m:sub>
                  <m:sup>
                    <m:r>
                      <w:rPr>
                        <w:rFonts w:ascii="Cambria Math" w:eastAsiaTheme="minorHAnsi" w:hAnsi="Cambria Math"/>
                        <w:sz w:val="20"/>
                        <w:szCs w:val="20"/>
                      </w:rPr>
                      <m:t>n</m:t>
                    </m:r>
                  </m:sup>
                  <m:e>
                    <m:d>
                      <m:dPr>
                        <m:begChr m:val="|"/>
                        <m:endChr m:val="|"/>
                        <m:ctrlPr>
                          <w:rPr>
                            <w:rFonts w:ascii="Cambria Math" w:eastAsiaTheme="minorHAnsi" w:hAnsi="Cambria Math"/>
                            <w:i/>
                            <w:sz w:val="20"/>
                            <w:szCs w:val="20"/>
                          </w:rPr>
                        </m:ctrlPr>
                      </m:dPr>
                      <m:e>
                        <m:sSub>
                          <m:sSubPr>
                            <m:ctrlPr>
                              <w:rPr>
                                <w:rFonts w:ascii="Cambria Math" w:eastAsiaTheme="minorHAnsi" w:hAnsi="Cambria Math"/>
                                <w:i/>
                                <w:sz w:val="20"/>
                                <w:szCs w:val="20"/>
                              </w:rPr>
                            </m:ctrlPr>
                          </m:sSubPr>
                          <m:e>
                            <m:r>
                              <w:rPr>
                                <w:rFonts w:ascii="Cambria Math" w:eastAsiaTheme="minorHAnsi" w:hAnsi="Cambria Math"/>
                                <w:sz w:val="20"/>
                                <w:szCs w:val="20"/>
                              </w:rPr>
                              <m:t>y</m:t>
                            </m:r>
                          </m:e>
                          <m:sub>
                            <m:r>
                              <w:rPr>
                                <w:rFonts w:ascii="Cambria Math" w:eastAsiaTheme="minorHAnsi" w:hAnsi="Cambria Math"/>
                                <w:sz w:val="20"/>
                                <w:szCs w:val="20"/>
                              </w:rPr>
                              <m:t>i</m:t>
                            </m:r>
                          </m:sub>
                        </m:sSub>
                        <m:r>
                          <w:rPr>
                            <w:rFonts w:ascii="Cambria Math" w:eastAsiaTheme="minorHAnsi" w:hAnsi="Cambria Math"/>
                            <w:sz w:val="20"/>
                            <w:szCs w:val="20"/>
                          </w:rPr>
                          <m:t>-</m:t>
                        </m:r>
                        <m:acc>
                          <m:accPr>
                            <m:ctrlPr>
                              <w:rPr>
                                <w:rFonts w:ascii="Cambria Math" w:eastAsiaTheme="minorHAnsi" w:hAnsi="Cambria Math"/>
                                <w:i/>
                                <w:sz w:val="20"/>
                                <w:szCs w:val="20"/>
                              </w:rPr>
                            </m:ctrlPr>
                          </m:accPr>
                          <m:e>
                            <m:sSub>
                              <m:sSubPr>
                                <m:ctrlPr>
                                  <w:rPr>
                                    <w:rFonts w:ascii="Cambria Math" w:eastAsiaTheme="minorHAnsi" w:hAnsi="Cambria Math"/>
                                    <w:i/>
                                    <w:sz w:val="20"/>
                                    <w:szCs w:val="20"/>
                                  </w:rPr>
                                </m:ctrlPr>
                              </m:sSubPr>
                              <m:e>
                                <m:r>
                                  <w:rPr>
                                    <w:rFonts w:ascii="Cambria Math" w:eastAsiaTheme="minorHAnsi" w:hAnsi="Cambria Math"/>
                                    <w:sz w:val="20"/>
                                    <w:szCs w:val="20"/>
                                  </w:rPr>
                                  <m:t>y</m:t>
                                </m:r>
                              </m:e>
                              <m:sub>
                                <m:r>
                                  <w:rPr>
                                    <w:rFonts w:ascii="Cambria Math" w:eastAsiaTheme="minorHAnsi" w:hAnsi="Cambria Math"/>
                                    <w:sz w:val="20"/>
                                    <w:szCs w:val="20"/>
                                  </w:rPr>
                                  <m:t>i</m:t>
                                </m:r>
                              </m:sub>
                            </m:sSub>
                          </m:e>
                        </m:acc>
                      </m:e>
                    </m:d>
                  </m:e>
                </m:nary>
              </m:oMath>
            </m:oMathPara>
          </w:p>
        </w:tc>
      </w:tr>
      <w:tr w:rsidR="00116B87" w:rsidRPr="00943BE6" w14:paraId="4DE4A50F" w14:textId="77777777" w:rsidTr="00C01D82">
        <w:trPr>
          <w:jc w:val="center"/>
        </w:trPr>
        <w:tc>
          <w:tcPr>
            <w:tcW w:w="1170" w:type="dxa"/>
          </w:tcPr>
          <w:p w14:paraId="16566D67" w14:textId="4BE5265F" w:rsidR="00116B87" w:rsidRPr="00943BE6" w:rsidRDefault="00116B87" w:rsidP="00BB1040">
            <w:pPr>
              <w:pStyle w:val="Nidungtrongbng"/>
              <w:spacing w:before="0" w:after="0" w:line="360" w:lineRule="auto"/>
              <w:ind w:firstLine="230"/>
              <w:jc w:val="center"/>
              <w:rPr>
                <w:sz w:val="20"/>
                <w:szCs w:val="20"/>
              </w:rPr>
            </w:pPr>
            <w:r w:rsidRPr="00943BE6">
              <w:rPr>
                <w:sz w:val="20"/>
                <w:szCs w:val="20"/>
              </w:rPr>
              <w:t>MAPE</w:t>
            </w:r>
          </w:p>
        </w:tc>
        <w:tc>
          <w:tcPr>
            <w:tcW w:w="4295" w:type="dxa"/>
          </w:tcPr>
          <w:p w14:paraId="0CAFC351" w14:textId="10E1ABD5" w:rsidR="00116B87" w:rsidRPr="00943BE6" w:rsidRDefault="003D14C3" w:rsidP="00BB1040">
            <w:pPr>
              <w:pStyle w:val="Nidungtrongbng"/>
              <w:spacing w:before="0" w:after="0" w:line="360" w:lineRule="auto"/>
              <w:ind w:firstLine="230"/>
              <w:jc w:val="center"/>
              <w:rPr>
                <w:i/>
                <w:sz w:val="20"/>
                <w:szCs w:val="20"/>
              </w:rPr>
            </w:pPr>
            <w:r w:rsidRPr="00943BE6">
              <w:rPr>
                <w:rFonts w:ascii="Cambria Math" w:eastAsiaTheme="minorHAnsi" w:hAnsi="Cambria Math"/>
                <w:i/>
                <w:sz w:val="20"/>
                <w:szCs w:val="20"/>
              </w:rPr>
              <w:t xml:space="preserve">MAPE = </w:t>
            </w:r>
            <m:oMath>
              <m:f>
                <m:fPr>
                  <m:ctrlPr>
                    <w:rPr>
                      <w:rFonts w:ascii="Cambria Math" w:eastAsiaTheme="minorHAnsi" w:hAnsi="Cambria Math"/>
                      <w:i/>
                      <w:sz w:val="20"/>
                      <w:szCs w:val="20"/>
                    </w:rPr>
                  </m:ctrlPr>
                </m:fPr>
                <m:num>
                  <m:r>
                    <w:rPr>
                      <w:rFonts w:ascii="Cambria Math" w:eastAsiaTheme="minorHAnsi" w:hAnsi="Cambria Math"/>
                      <w:sz w:val="20"/>
                      <w:szCs w:val="20"/>
                    </w:rPr>
                    <m:t>100</m:t>
                  </m:r>
                </m:num>
                <m:den>
                  <m:r>
                    <w:rPr>
                      <w:rFonts w:ascii="Cambria Math" w:eastAsiaTheme="minorHAnsi" w:hAnsi="Cambria Math"/>
                      <w:sz w:val="20"/>
                      <w:szCs w:val="20"/>
                    </w:rPr>
                    <m:t>N</m:t>
                  </m:r>
                </m:den>
              </m:f>
              <m:nary>
                <m:naryPr>
                  <m:chr m:val="∑"/>
                  <m:limLoc m:val="undOvr"/>
                  <m:ctrlPr>
                    <w:rPr>
                      <w:rFonts w:ascii="Cambria Math" w:eastAsiaTheme="minorHAnsi" w:hAnsi="Cambria Math"/>
                      <w:i/>
                      <w:sz w:val="20"/>
                      <w:szCs w:val="20"/>
                    </w:rPr>
                  </m:ctrlPr>
                </m:naryPr>
                <m:sub>
                  <m:r>
                    <w:rPr>
                      <w:rFonts w:ascii="Cambria Math" w:eastAsiaTheme="minorHAnsi" w:hAnsi="Cambria Math"/>
                      <w:sz w:val="20"/>
                      <w:szCs w:val="20"/>
                    </w:rPr>
                    <m:t>i=1</m:t>
                  </m:r>
                </m:sub>
                <m:sup>
                  <m:r>
                    <w:rPr>
                      <w:rFonts w:ascii="Cambria Math" w:eastAsiaTheme="minorHAnsi" w:hAnsi="Cambria Math"/>
                      <w:sz w:val="20"/>
                      <w:szCs w:val="20"/>
                    </w:rPr>
                    <m:t>n</m:t>
                  </m:r>
                </m:sup>
                <m:e>
                  <m:d>
                    <m:dPr>
                      <m:begChr m:val="⌈"/>
                      <m:endChr m:val="⌉"/>
                      <m:ctrlPr>
                        <w:rPr>
                          <w:rFonts w:ascii="Cambria Math" w:eastAsiaTheme="minorHAnsi" w:hAnsi="Cambria Math"/>
                          <w:i/>
                          <w:sz w:val="20"/>
                          <w:szCs w:val="20"/>
                        </w:rPr>
                      </m:ctrlPr>
                    </m:dPr>
                    <m:e>
                      <m:f>
                        <m:fPr>
                          <m:ctrlPr>
                            <w:rPr>
                              <w:rFonts w:ascii="Cambria Math" w:eastAsiaTheme="minorHAnsi" w:hAnsi="Cambria Math"/>
                              <w:i/>
                              <w:sz w:val="20"/>
                              <w:szCs w:val="20"/>
                            </w:rPr>
                          </m:ctrlPr>
                        </m:fPr>
                        <m:num>
                          <m:sSub>
                            <m:sSubPr>
                              <m:ctrlPr>
                                <w:rPr>
                                  <w:rFonts w:ascii="Cambria Math" w:eastAsiaTheme="minorHAnsi" w:hAnsi="Cambria Math"/>
                                  <w:i/>
                                  <w:sz w:val="20"/>
                                  <w:szCs w:val="20"/>
                                </w:rPr>
                              </m:ctrlPr>
                            </m:sSubPr>
                            <m:e>
                              <m:r>
                                <w:rPr>
                                  <w:rFonts w:ascii="Cambria Math" w:eastAsiaTheme="minorHAnsi" w:hAnsi="Cambria Math"/>
                                  <w:sz w:val="20"/>
                                  <w:szCs w:val="20"/>
                                </w:rPr>
                                <m:t>y</m:t>
                              </m:r>
                            </m:e>
                            <m:sub>
                              <m:r>
                                <w:rPr>
                                  <w:rFonts w:ascii="Cambria Math" w:eastAsiaTheme="minorHAnsi" w:hAnsi="Cambria Math"/>
                                  <w:sz w:val="20"/>
                                  <w:szCs w:val="20"/>
                                </w:rPr>
                                <m:t>i</m:t>
                              </m:r>
                            </m:sub>
                          </m:sSub>
                          <m:r>
                            <w:rPr>
                              <w:rFonts w:ascii="Cambria Math" w:eastAsiaTheme="minorHAnsi" w:hAnsi="Cambria Math"/>
                              <w:sz w:val="20"/>
                              <w:szCs w:val="20"/>
                            </w:rPr>
                            <m:t>-</m:t>
                          </m:r>
                          <m:sSub>
                            <m:sSubPr>
                              <m:ctrlPr>
                                <w:rPr>
                                  <w:rFonts w:ascii="Cambria Math" w:eastAsiaTheme="minorHAnsi" w:hAnsi="Cambria Math"/>
                                  <w:i/>
                                  <w:sz w:val="20"/>
                                  <w:szCs w:val="20"/>
                                </w:rPr>
                              </m:ctrlPr>
                            </m:sSubPr>
                            <m:e>
                              <m:acc>
                                <m:accPr>
                                  <m:ctrlPr>
                                    <w:rPr>
                                      <w:rFonts w:ascii="Cambria Math" w:eastAsiaTheme="minorHAnsi" w:hAnsi="Cambria Math"/>
                                      <w:i/>
                                      <w:sz w:val="20"/>
                                      <w:szCs w:val="20"/>
                                    </w:rPr>
                                  </m:ctrlPr>
                                </m:accPr>
                                <m:e>
                                  <m:r>
                                    <w:rPr>
                                      <w:rFonts w:ascii="Cambria Math" w:eastAsiaTheme="minorHAnsi" w:hAnsi="Cambria Math"/>
                                      <w:sz w:val="20"/>
                                      <w:szCs w:val="20"/>
                                    </w:rPr>
                                    <m:t>y</m:t>
                                  </m:r>
                                </m:e>
                              </m:acc>
                            </m:e>
                            <m:sub>
                              <m:r>
                                <w:rPr>
                                  <w:rFonts w:ascii="Cambria Math" w:eastAsiaTheme="minorHAnsi" w:hAnsi="Cambria Math"/>
                                  <w:sz w:val="20"/>
                                  <w:szCs w:val="20"/>
                                </w:rPr>
                                <m:t>i</m:t>
                              </m:r>
                            </m:sub>
                          </m:sSub>
                        </m:num>
                        <m:den>
                          <m:sSub>
                            <m:sSubPr>
                              <m:ctrlPr>
                                <w:rPr>
                                  <w:rFonts w:ascii="Cambria Math" w:eastAsiaTheme="minorHAnsi" w:hAnsi="Cambria Math"/>
                                  <w:i/>
                                  <w:sz w:val="20"/>
                                  <w:szCs w:val="20"/>
                                </w:rPr>
                              </m:ctrlPr>
                            </m:sSubPr>
                            <m:e>
                              <m:r>
                                <w:rPr>
                                  <w:rFonts w:ascii="Cambria Math" w:eastAsiaTheme="minorHAnsi" w:hAnsi="Cambria Math"/>
                                  <w:sz w:val="20"/>
                                  <w:szCs w:val="20"/>
                                </w:rPr>
                                <m:t>y</m:t>
                              </m:r>
                            </m:e>
                            <m:sub>
                              <m:r>
                                <w:rPr>
                                  <w:rFonts w:ascii="Cambria Math" w:eastAsiaTheme="minorHAnsi" w:hAnsi="Cambria Math"/>
                                  <w:sz w:val="20"/>
                                  <w:szCs w:val="20"/>
                                </w:rPr>
                                <m:t>i</m:t>
                              </m:r>
                            </m:sub>
                          </m:sSub>
                        </m:den>
                      </m:f>
                    </m:e>
                  </m:d>
                </m:e>
              </m:nary>
            </m:oMath>
          </w:p>
        </w:tc>
      </w:tr>
      <w:tr w:rsidR="00DA130A" w:rsidRPr="00943BE6" w14:paraId="556EC77A" w14:textId="77777777" w:rsidTr="00C01D82">
        <w:trPr>
          <w:jc w:val="center"/>
        </w:trPr>
        <w:tc>
          <w:tcPr>
            <w:tcW w:w="1170" w:type="dxa"/>
          </w:tcPr>
          <w:p w14:paraId="2BB8C644" w14:textId="77777777" w:rsidR="00DA130A" w:rsidRPr="00943BE6" w:rsidRDefault="00DA130A" w:rsidP="00BB1040">
            <w:pPr>
              <w:pStyle w:val="Nidungtrongbng"/>
              <w:spacing w:before="0" w:after="0" w:line="360" w:lineRule="auto"/>
              <w:ind w:firstLine="230"/>
              <w:jc w:val="center"/>
              <w:rPr>
                <w:b/>
                <w:bCs/>
                <w:sz w:val="20"/>
                <w:szCs w:val="20"/>
              </w:rPr>
            </w:pPr>
            <w:r w:rsidRPr="00943BE6">
              <w:rPr>
                <w:sz w:val="20"/>
                <w:szCs w:val="20"/>
              </w:rPr>
              <w:t>R</w:t>
            </w:r>
            <w:r w:rsidRPr="00943BE6">
              <w:rPr>
                <w:sz w:val="20"/>
                <w:szCs w:val="20"/>
                <w:vertAlign w:val="superscript"/>
              </w:rPr>
              <w:t>2</w:t>
            </w:r>
          </w:p>
        </w:tc>
        <w:tc>
          <w:tcPr>
            <w:tcW w:w="4295" w:type="dxa"/>
          </w:tcPr>
          <w:p w14:paraId="6A9AF325" w14:textId="317B6DEE" w:rsidR="00DA130A" w:rsidRPr="00943BE6" w:rsidRDefault="00000000" w:rsidP="00BB1040">
            <w:pPr>
              <w:pStyle w:val="Nidungtrongbng"/>
              <w:spacing w:before="0" w:after="0" w:line="360" w:lineRule="auto"/>
              <w:ind w:firstLine="230"/>
              <w:jc w:val="center"/>
              <w:rPr>
                <w:sz w:val="20"/>
                <w:szCs w:val="20"/>
              </w:rPr>
            </w:pPr>
            <m:oMathPara>
              <m:oMath>
                <m:sSup>
                  <m:sSupPr>
                    <m:ctrlPr>
                      <w:rPr>
                        <w:rFonts w:ascii="Cambria Math" w:eastAsiaTheme="minorHAnsi" w:hAnsi="Cambria Math"/>
                        <w:i/>
                        <w:sz w:val="20"/>
                        <w:szCs w:val="20"/>
                      </w:rPr>
                    </m:ctrlPr>
                  </m:sSupPr>
                  <m:e>
                    <m:r>
                      <w:rPr>
                        <w:rFonts w:ascii="Cambria Math" w:eastAsiaTheme="minorHAnsi" w:hAnsi="Cambria Math"/>
                        <w:sz w:val="20"/>
                        <w:szCs w:val="20"/>
                      </w:rPr>
                      <m:t>R</m:t>
                    </m:r>
                  </m:e>
                  <m:sup>
                    <m:r>
                      <w:rPr>
                        <w:rFonts w:ascii="Cambria Math" w:eastAsiaTheme="minorHAnsi" w:hAnsi="Cambria Math"/>
                        <w:sz w:val="20"/>
                        <w:szCs w:val="20"/>
                      </w:rPr>
                      <m:t>2</m:t>
                    </m:r>
                  </m:sup>
                </m:sSup>
                <m:r>
                  <w:rPr>
                    <w:rFonts w:ascii="Cambria Math" w:eastAsiaTheme="minorHAnsi" w:hAnsi="Cambria Math"/>
                    <w:sz w:val="20"/>
                    <w:szCs w:val="20"/>
                  </w:rPr>
                  <m:t>=1-</m:t>
                </m:r>
                <m:f>
                  <m:fPr>
                    <m:ctrlPr>
                      <w:rPr>
                        <w:rFonts w:ascii="Cambria Math" w:eastAsiaTheme="minorHAnsi" w:hAnsi="Cambria Math"/>
                        <w:i/>
                        <w:sz w:val="20"/>
                        <w:szCs w:val="20"/>
                      </w:rPr>
                    </m:ctrlPr>
                  </m:fPr>
                  <m:num>
                    <m:nary>
                      <m:naryPr>
                        <m:chr m:val="∑"/>
                        <m:limLoc m:val="subSup"/>
                        <m:ctrlPr>
                          <w:rPr>
                            <w:rFonts w:ascii="Cambria Math" w:eastAsiaTheme="minorHAnsi" w:hAnsi="Cambria Math"/>
                            <w:i/>
                            <w:sz w:val="20"/>
                            <w:szCs w:val="20"/>
                          </w:rPr>
                        </m:ctrlPr>
                      </m:naryPr>
                      <m:sub>
                        <m:r>
                          <w:rPr>
                            <w:rFonts w:ascii="Cambria Math" w:eastAsiaTheme="minorHAnsi" w:hAnsi="Cambria Math"/>
                            <w:sz w:val="20"/>
                            <w:szCs w:val="20"/>
                          </w:rPr>
                          <m:t>i=1</m:t>
                        </m:r>
                      </m:sub>
                      <m:sup>
                        <m:r>
                          <w:rPr>
                            <w:rFonts w:ascii="Cambria Math" w:eastAsiaTheme="minorHAnsi" w:hAnsi="Cambria Math"/>
                            <w:sz w:val="20"/>
                            <w:szCs w:val="20"/>
                          </w:rPr>
                          <m:t>n</m:t>
                        </m:r>
                      </m:sup>
                      <m:e>
                        <m:sSup>
                          <m:sSupPr>
                            <m:ctrlPr>
                              <w:rPr>
                                <w:rFonts w:ascii="Cambria Math" w:eastAsiaTheme="minorHAnsi" w:hAnsi="Cambria Math"/>
                                <w:i/>
                                <w:sz w:val="20"/>
                                <w:szCs w:val="20"/>
                              </w:rPr>
                            </m:ctrlPr>
                          </m:sSupPr>
                          <m:e>
                            <m:r>
                              <w:rPr>
                                <w:rFonts w:ascii="Cambria Math" w:eastAsiaTheme="minorHAnsi" w:hAnsi="Cambria Math"/>
                                <w:sz w:val="20"/>
                                <w:szCs w:val="20"/>
                              </w:rPr>
                              <m:t>(</m:t>
                            </m:r>
                            <m:sSub>
                              <m:sSubPr>
                                <m:ctrlPr>
                                  <w:rPr>
                                    <w:rFonts w:ascii="Cambria Math" w:eastAsiaTheme="minorHAnsi" w:hAnsi="Cambria Math"/>
                                    <w:i/>
                                    <w:sz w:val="20"/>
                                    <w:szCs w:val="20"/>
                                  </w:rPr>
                                </m:ctrlPr>
                              </m:sSubPr>
                              <m:e>
                                <m:r>
                                  <w:rPr>
                                    <w:rFonts w:ascii="Cambria Math" w:eastAsiaTheme="minorHAnsi" w:hAnsi="Cambria Math"/>
                                    <w:sz w:val="20"/>
                                    <w:szCs w:val="20"/>
                                  </w:rPr>
                                  <m:t>y</m:t>
                                </m:r>
                              </m:e>
                              <m:sub>
                                <m:r>
                                  <w:rPr>
                                    <w:rFonts w:ascii="Cambria Math" w:eastAsiaTheme="minorHAnsi" w:hAnsi="Cambria Math"/>
                                    <w:sz w:val="20"/>
                                    <w:szCs w:val="20"/>
                                  </w:rPr>
                                  <m:t>i</m:t>
                                </m:r>
                              </m:sub>
                            </m:sSub>
                            <m:r>
                              <w:rPr>
                                <w:rFonts w:ascii="Cambria Math" w:eastAsiaTheme="minorHAnsi" w:hAnsi="Cambria Math"/>
                                <w:sz w:val="20"/>
                                <w:szCs w:val="20"/>
                              </w:rPr>
                              <m:t>-</m:t>
                            </m:r>
                            <m:sSub>
                              <m:sSubPr>
                                <m:ctrlPr>
                                  <w:rPr>
                                    <w:rFonts w:ascii="Cambria Math" w:eastAsiaTheme="minorHAnsi" w:hAnsi="Cambria Math"/>
                                    <w:i/>
                                    <w:sz w:val="20"/>
                                    <w:szCs w:val="20"/>
                                  </w:rPr>
                                </m:ctrlPr>
                              </m:sSubPr>
                              <m:e>
                                <m:acc>
                                  <m:accPr>
                                    <m:ctrlPr>
                                      <w:rPr>
                                        <w:rFonts w:ascii="Cambria Math" w:eastAsiaTheme="minorHAnsi" w:hAnsi="Cambria Math"/>
                                        <w:i/>
                                        <w:sz w:val="20"/>
                                        <w:szCs w:val="20"/>
                                      </w:rPr>
                                    </m:ctrlPr>
                                  </m:accPr>
                                  <m:e>
                                    <m:r>
                                      <w:rPr>
                                        <w:rFonts w:ascii="Cambria Math" w:eastAsiaTheme="minorHAnsi" w:hAnsi="Cambria Math"/>
                                        <w:sz w:val="20"/>
                                        <w:szCs w:val="20"/>
                                      </w:rPr>
                                      <m:t>y</m:t>
                                    </m:r>
                                  </m:e>
                                </m:acc>
                              </m:e>
                              <m:sub>
                                <m:r>
                                  <w:rPr>
                                    <w:rFonts w:ascii="Cambria Math" w:eastAsiaTheme="minorHAnsi" w:hAnsi="Cambria Math"/>
                                    <w:sz w:val="20"/>
                                    <w:szCs w:val="20"/>
                                  </w:rPr>
                                  <m:t>i</m:t>
                                </m:r>
                              </m:sub>
                            </m:sSub>
                            <m:r>
                              <w:rPr>
                                <w:rFonts w:ascii="Cambria Math" w:eastAsiaTheme="minorHAnsi" w:hAnsi="Cambria Math"/>
                                <w:sz w:val="20"/>
                                <w:szCs w:val="20"/>
                              </w:rPr>
                              <m:t>)</m:t>
                            </m:r>
                          </m:e>
                          <m:sup>
                            <m:r>
                              <w:rPr>
                                <w:rFonts w:ascii="Cambria Math" w:eastAsiaTheme="minorHAnsi" w:hAnsi="Cambria Math"/>
                                <w:sz w:val="20"/>
                                <w:szCs w:val="20"/>
                              </w:rPr>
                              <m:t>2</m:t>
                            </m:r>
                          </m:sup>
                        </m:sSup>
                      </m:e>
                    </m:nary>
                  </m:num>
                  <m:den>
                    <m:nary>
                      <m:naryPr>
                        <m:chr m:val="∑"/>
                        <m:limLoc m:val="subSup"/>
                        <m:ctrlPr>
                          <w:rPr>
                            <w:rFonts w:ascii="Cambria Math" w:eastAsiaTheme="minorHAnsi" w:hAnsi="Cambria Math"/>
                            <w:i/>
                            <w:sz w:val="20"/>
                            <w:szCs w:val="20"/>
                          </w:rPr>
                        </m:ctrlPr>
                      </m:naryPr>
                      <m:sub>
                        <m:r>
                          <w:rPr>
                            <w:rFonts w:ascii="Cambria Math" w:eastAsiaTheme="minorHAnsi" w:hAnsi="Cambria Math"/>
                            <w:sz w:val="20"/>
                            <w:szCs w:val="20"/>
                          </w:rPr>
                          <m:t>i=1</m:t>
                        </m:r>
                      </m:sub>
                      <m:sup>
                        <m:r>
                          <w:rPr>
                            <w:rFonts w:ascii="Cambria Math" w:eastAsiaTheme="minorHAnsi" w:hAnsi="Cambria Math"/>
                            <w:sz w:val="20"/>
                            <w:szCs w:val="20"/>
                          </w:rPr>
                          <m:t>n</m:t>
                        </m:r>
                      </m:sup>
                      <m:e>
                        <m:sSup>
                          <m:sSupPr>
                            <m:ctrlPr>
                              <w:rPr>
                                <w:rFonts w:ascii="Cambria Math" w:eastAsiaTheme="minorHAnsi" w:hAnsi="Cambria Math"/>
                                <w:i/>
                                <w:sz w:val="20"/>
                                <w:szCs w:val="20"/>
                              </w:rPr>
                            </m:ctrlPr>
                          </m:sSupPr>
                          <m:e>
                            <m:r>
                              <w:rPr>
                                <w:rFonts w:ascii="Cambria Math" w:eastAsiaTheme="minorHAnsi" w:hAnsi="Cambria Math"/>
                                <w:sz w:val="20"/>
                                <w:szCs w:val="20"/>
                              </w:rPr>
                              <m:t>(</m:t>
                            </m:r>
                            <m:sSub>
                              <m:sSubPr>
                                <m:ctrlPr>
                                  <w:rPr>
                                    <w:rFonts w:ascii="Cambria Math" w:eastAsiaTheme="minorHAnsi" w:hAnsi="Cambria Math"/>
                                    <w:i/>
                                    <w:sz w:val="20"/>
                                    <w:szCs w:val="20"/>
                                  </w:rPr>
                                </m:ctrlPr>
                              </m:sSubPr>
                              <m:e>
                                <m:r>
                                  <w:rPr>
                                    <w:rFonts w:ascii="Cambria Math" w:eastAsiaTheme="minorHAnsi" w:hAnsi="Cambria Math"/>
                                    <w:sz w:val="20"/>
                                    <w:szCs w:val="20"/>
                                  </w:rPr>
                                  <m:t>y</m:t>
                                </m:r>
                              </m:e>
                              <m:sub>
                                <m:r>
                                  <w:rPr>
                                    <w:rFonts w:ascii="Cambria Math" w:eastAsiaTheme="minorHAnsi" w:hAnsi="Cambria Math"/>
                                    <w:sz w:val="20"/>
                                    <w:szCs w:val="20"/>
                                  </w:rPr>
                                  <m:t>i</m:t>
                                </m:r>
                              </m:sub>
                            </m:sSub>
                            <m:r>
                              <w:rPr>
                                <w:rFonts w:ascii="Cambria Math" w:eastAsiaTheme="minorHAnsi" w:hAnsi="Cambria Math"/>
                                <w:sz w:val="20"/>
                                <w:szCs w:val="20"/>
                              </w:rPr>
                              <m:t>-</m:t>
                            </m:r>
                            <m:sSub>
                              <m:sSubPr>
                                <m:ctrlPr>
                                  <w:rPr>
                                    <w:rFonts w:ascii="Cambria Math" w:eastAsiaTheme="minorHAnsi" w:hAnsi="Cambria Math"/>
                                    <w:i/>
                                    <w:sz w:val="20"/>
                                    <w:szCs w:val="20"/>
                                  </w:rPr>
                                </m:ctrlPr>
                              </m:sSubPr>
                              <m:e>
                                <m:acc>
                                  <m:accPr>
                                    <m:chr m:val="̅"/>
                                    <m:ctrlPr>
                                      <w:rPr>
                                        <w:rFonts w:ascii="Cambria Math" w:eastAsiaTheme="minorHAnsi" w:hAnsi="Cambria Math"/>
                                        <w:i/>
                                        <w:sz w:val="20"/>
                                        <w:szCs w:val="20"/>
                                      </w:rPr>
                                    </m:ctrlPr>
                                  </m:accPr>
                                  <m:e>
                                    <m:r>
                                      <w:rPr>
                                        <w:rFonts w:ascii="Cambria Math" w:eastAsiaTheme="minorHAnsi" w:hAnsi="Cambria Math"/>
                                        <w:sz w:val="20"/>
                                        <w:szCs w:val="20"/>
                                      </w:rPr>
                                      <m:t>y</m:t>
                                    </m:r>
                                  </m:e>
                                </m:acc>
                              </m:e>
                              <m:sub>
                                <m:r>
                                  <w:rPr>
                                    <w:rFonts w:ascii="Cambria Math" w:eastAsiaTheme="minorHAnsi" w:hAnsi="Cambria Math"/>
                                    <w:sz w:val="20"/>
                                    <w:szCs w:val="20"/>
                                  </w:rPr>
                                  <m:t>i</m:t>
                                </m:r>
                              </m:sub>
                            </m:sSub>
                            <m:r>
                              <w:rPr>
                                <w:rFonts w:ascii="Cambria Math" w:eastAsiaTheme="minorHAnsi" w:hAnsi="Cambria Math"/>
                                <w:sz w:val="20"/>
                                <w:szCs w:val="20"/>
                              </w:rPr>
                              <m:t>)</m:t>
                            </m:r>
                          </m:e>
                          <m:sup>
                            <m:r>
                              <w:rPr>
                                <w:rFonts w:ascii="Cambria Math" w:eastAsiaTheme="minorHAnsi" w:hAnsi="Cambria Math"/>
                                <w:sz w:val="20"/>
                                <w:szCs w:val="20"/>
                              </w:rPr>
                              <m:t>2</m:t>
                            </m:r>
                          </m:sup>
                        </m:sSup>
                      </m:e>
                    </m:nary>
                  </m:den>
                </m:f>
              </m:oMath>
            </m:oMathPara>
          </w:p>
        </w:tc>
      </w:tr>
    </w:tbl>
    <w:bookmarkEnd w:id="15"/>
    <w:p w14:paraId="541D30DB" w14:textId="047D83AE" w:rsidR="003B2C30" w:rsidRPr="00943BE6" w:rsidRDefault="003B2C30" w:rsidP="001C7C89">
      <w:pPr>
        <w:spacing w:before="120" w:after="120" w:line="360" w:lineRule="auto"/>
        <w:ind w:firstLine="720"/>
        <w:rPr>
          <w:rFonts w:ascii="Palatino Linotype" w:hAnsi="Palatino Linotype"/>
        </w:rPr>
      </w:pPr>
      <w:r w:rsidRPr="00943BE6">
        <w:rPr>
          <w:rFonts w:ascii="Palatino Linotype" w:hAnsi="Palatino Linotype"/>
        </w:rPr>
        <w:t xml:space="preserve">The experimental results presented in </w:t>
      </w:r>
      <w:r w:rsidRPr="00943BE6">
        <w:rPr>
          <w:rFonts w:ascii="Palatino Linotype" w:hAnsi="Palatino Linotype"/>
        </w:rPr>
        <w:fldChar w:fldCharType="begin"/>
      </w:r>
      <w:r w:rsidRPr="00943BE6">
        <w:rPr>
          <w:rFonts w:ascii="Palatino Linotype" w:hAnsi="Palatino Linotype"/>
        </w:rPr>
        <w:instrText xml:space="preserve"> REF _Ref202007697 \h </w:instrText>
      </w:r>
      <w:r w:rsidR="00540E2A" w:rsidRPr="00943BE6">
        <w:rPr>
          <w:rFonts w:ascii="Palatino Linotype" w:hAnsi="Palatino Linotype"/>
        </w:rPr>
        <w:instrText xml:space="preserve"> \* MERGEFORMAT </w:instrText>
      </w:r>
      <w:r w:rsidRPr="00943BE6">
        <w:rPr>
          <w:rFonts w:ascii="Palatino Linotype" w:hAnsi="Palatino Linotype"/>
        </w:rPr>
      </w:r>
      <w:r w:rsidRPr="00943BE6">
        <w:rPr>
          <w:rFonts w:ascii="Palatino Linotype" w:hAnsi="Palatino Linotype"/>
        </w:rPr>
        <w:fldChar w:fldCharType="separate"/>
      </w:r>
      <w:r w:rsidR="0085441D" w:rsidRPr="00943BE6">
        <w:rPr>
          <w:rFonts w:ascii="Palatino Linotype" w:hAnsi="Palatino Linotype"/>
          <w:iCs/>
        </w:rPr>
        <w:t xml:space="preserve">Table </w:t>
      </w:r>
      <w:r w:rsidR="0085441D" w:rsidRPr="00943BE6">
        <w:rPr>
          <w:rFonts w:ascii="Palatino Linotype" w:hAnsi="Palatino Linotype"/>
          <w:iCs/>
          <w:noProof/>
        </w:rPr>
        <w:t>2</w:t>
      </w:r>
      <w:r w:rsidRPr="00943BE6">
        <w:rPr>
          <w:rFonts w:ascii="Palatino Linotype" w:hAnsi="Palatino Linotype"/>
        </w:rPr>
        <w:fldChar w:fldCharType="end"/>
      </w:r>
      <w:r w:rsidRPr="00943BE6">
        <w:rPr>
          <w:rFonts w:ascii="Palatino Linotype" w:hAnsi="Palatino Linotype"/>
        </w:rPr>
        <w:t xml:space="preserve"> and</w:t>
      </w:r>
      <w:r w:rsidR="00C01D82" w:rsidRPr="00943BE6">
        <w:rPr>
          <w:rFonts w:ascii="Palatino Linotype" w:hAnsi="Palatino Linotype"/>
        </w:rPr>
        <w:t xml:space="preserve"> </w:t>
      </w:r>
      <w:r w:rsidR="00C01D82" w:rsidRPr="00943BE6">
        <w:rPr>
          <w:rFonts w:ascii="Palatino Linotype" w:hAnsi="Palatino Linotype"/>
        </w:rPr>
        <w:fldChar w:fldCharType="begin"/>
      </w:r>
      <w:r w:rsidR="00C01D82" w:rsidRPr="00943BE6">
        <w:rPr>
          <w:rFonts w:ascii="Palatino Linotype" w:hAnsi="Palatino Linotype"/>
        </w:rPr>
        <w:instrText xml:space="preserve"> REF _Ref205303098 \h  \* MERGEFORMAT </w:instrText>
      </w:r>
      <w:r w:rsidR="00C01D82" w:rsidRPr="00943BE6">
        <w:rPr>
          <w:rFonts w:ascii="Palatino Linotype" w:hAnsi="Palatino Linotype"/>
        </w:rPr>
      </w:r>
      <w:r w:rsidR="00C01D82" w:rsidRPr="00943BE6">
        <w:rPr>
          <w:rFonts w:ascii="Palatino Linotype" w:hAnsi="Palatino Linotype"/>
        </w:rPr>
        <w:fldChar w:fldCharType="separate"/>
      </w:r>
      <w:r w:rsidR="0085441D" w:rsidRPr="00943BE6">
        <w:rPr>
          <w:rFonts w:ascii="Palatino Linotype" w:hAnsi="Palatino Linotype"/>
        </w:rPr>
        <w:t>Fig. 2</w:t>
      </w:r>
      <w:r w:rsidR="00C01D82" w:rsidRPr="00943BE6">
        <w:rPr>
          <w:rFonts w:ascii="Palatino Linotype" w:hAnsi="Palatino Linotype"/>
        </w:rPr>
        <w:fldChar w:fldCharType="end"/>
      </w:r>
      <w:r w:rsidR="00C01D82" w:rsidRPr="00943BE6">
        <w:rPr>
          <w:rFonts w:ascii="Palatino Linotype" w:hAnsi="Palatino Linotype"/>
        </w:rPr>
        <w:t xml:space="preserve"> - </w:t>
      </w:r>
      <w:r w:rsidR="00C01D82" w:rsidRPr="00943BE6">
        <w:rPr>
          <w:rFonts w:ascii="Palatino Linotype" w:hAnsi="Palatino Linotype"/>
        </w:rPr>
        <w:fldChar w:fldCharType="begin"/>
      </w:r>
      <w:r w:rsidR="00C01D82" w:rsidRPr="00943BE6">
        <w:rPr>
          <w:rFonts w:ascii="Palatino Linotype" w:hAnsi="Palatino Linotype"/>
        </w:rPr>
        <w:instrText xml:space="preserve"> REF _Ref203053709 \h  \* MERGEFORMAT </w:instrText>
      </w:r>
      <w:r w:rsidR="00C01D82" w:rsidRPr="00943BE6">
        <w:rPr>
          <w:rFonts w:ascii="Palatino Linotype" w:hAnsi="Palatino Linotype"/>
        </w:rPr>
      </w:r>
      <w:r w:rsidR="00C01D82" w:rsidRPr="00943BE6">
        <w:rPr>
          <w:rFonts w:ascii="Palatino Linotype" w:hAnsi="Palatino Linotype"/>
        </w:rPr>
        <w:fldChar w:fldCharType="separate"/>
      </w:r>
      <w:r w:rsidR="0085441D" w:rsidRPr="00943BE6">
        <w:rPr>
          <w:rFonts w:ascii="Palatino Linotype" w:hAnsi="Palatino Linotype"/>
        </w:rPr>
        <w:t>Fig. 7</w:t>
      </w:r>
      <w:r w:rsidR="00C01D82" w:rsidRPr="00943BE6">
        <w:rPr>
          <w:rFonts w:ascii="Palatino Linotype" w:hAnsi="Palatino Linotype"/>
        </w:rPr>
        <w:fldChar w:fldCharType="end"/>
      </w:r>
      <w:r w:rsidRPr="00943BE6">
        <w:rPr>
          <w:rFonts w:ascii="Palatino Linotype" w:hAnsi="Palatino Linotype"/>
        </w:rPr>
        <w:t xml:space="preserve"> </w:t>
      </w:r>
      <w:r w:rsidR="00EC1FB8" w:rsidRPr="00943BE6">
        <w:rPr>
          <w:rFonts w:ascii="Palatino Linotype" w:hAnsi="Palatino Linotype"/>
        </w:rPr>
        <w:t xml:space="preserve">provide compelling evidence of the superior forecasting capability of the GRU model across all evaluated short-term forecasting configurations. Unlike previous analyses based solely on normalized values, </w:t>
      </w:r>
      <w:r w:rsidR="00EC1FB8" w:rsidRPr="00943BE6">
        <w:rPr>
          <w:rFonts w:ascii="Palatino Linotype" w:hAnsi="Palatino Linotype"/>
        </w:rPr>
        <w:fldChar w:fldCharType="begin"/>
      </w:r>
      <w:r w:rsidR="00EC1FB8" w:rsidRPr="00943BE6">
        <w:rPr>
          <w:rFonts w:ascii="Palatino Linotype" w:hAnsi="Palatino Linotype"/>
        </w:rPr>
        <w:instrText xml:space="preserve"> REF _Ref232255485 \h  \* MERGEFORMAT </w:instrText>
      </w:r>
      <w:r w:rsidR="00EC1FB8" w:rsidRPr="00943BE6">
        <w:rPr>
          <w:rFonts w:ascii="Palatino Linotype" w:hAnsi="Palatino Linotype"/>
        </w:rPr>
      </w:r>
      <w:r w:rsidR="00EC1FB8" w:rsidRPr="00943BE6">
        <w:rPr>
          <w:rFonts w:ascii="Palatino Linotype" w:hAnsi="Palatino Linotype"/>
        </w:rPr>
        <w:fldChar w:fldCharType="separate"/>
      </w:r>
      <w:r w:rsidR="00EC1FB8" w:rsidRPr="00943BE6">
        <w:rPr>
          <w:rFonts w:ascii="Palatino Linotype" w:hAnsi="Palatino Linotype"/>
        </w:rPr>
        <w:t>Table 2</w:t>
      </w:r>
      <w:r w:rsidR="00EC1FB8" w:rsidRPr="00943BE6">
        <w:rPr>
          <w:rFonts w:ascii="Palatino Linotype" w:hAnsi="Palatino Linotype"/>
        </w:rPr>
        <w:fldChar w:fldCharType="end"/>
      </w:r>
      <w:r w:rsidR="00EC1FB8" w:rsidRPr="00943BE6">
        <w:rPr>
          <w:rFonts w:ascii="Palatino Linotype" w:hAnsi="Palatino Linotype"/>
        </w:rPr>
        <w:t xml:space="preserve"> reports prediction </w:t>
      </w:r>
      <w:r w:rsidR="00EC1FB8" w:rsidRPr="00943BE6">
        <w:rPr>
          <w:rFonts w:ascii="Palatino Linotype" w:hAnsi="Palatino Linotype"/>
        </w:rPr>
        <w:lastRenderedPageBreak/>
        <w:t>errors transformed back to the original USD scale, together with percentage-based metrics (MAPE), thereby improving the practical interpretability of the results for financial applications.</w:t>
      </w:r>
    </w:p>
    <w:p w14:paraId="485CECBF" w14:textId="7ACCD370" w:rsidR="00BE7C67" w:rsidRPr="00943BE6" w:rsidRDefault="00BE7C67" w:rsidP="00BE7C67">
      <w:pPr>
        <w:pStyle w:val="ChthchBngbiu-Hnhv"/>
        <w:keepNext/>
        <w:spacing w:before="120" w:after="120" w:line="360" w:lineRule="auto"/>
        <w:rPr>
          <w:i w:val="0"/>
          <w:iCs/>
          <w:sz w:val="18"/>
          <w:szCs w:val="18"/>
        </w:rPr>
      </w:pPr>
      <w:bookmarkStart w:id="16" w:name="_Ref232255485"/>
      <w:r w:rsidRPr="00943BE6">
        <w:rPr>
          <w:i w:val="0"/>
          <w:iCs/>
          <w:sz w:val="18"/>
          <w:szCs w:val="18"/>
        </w:rPr>
        <w:t xml:space="preserve">Table </w:t>
      </w:r>
      <w:r w:rsidRPr="00943BE6">
        <w:rPr>
          <w:i w:val="0"/>
          <w:iCs/>
          <w:sz w:val="18"/>
          <w:szCs w:val="18"/>
        </w:rPr>
        <w:fldChar w:fldCharType="begin"/>
      </w:r>
      <w:r w:rsidRPr="00943BE6">
        <w:rPr>
          <w:i w:val="0"/>
          <w:iCs/>
          <w:sz w:val="18"/>
          <w:szCs w:val="18"/>
        </w:rPr>
        <w:instrText xml:space="preserve"> SEQ Table \* ARABIC </w:instrText>
      </w:r>
      <w:r w:rsidRPr="00943BE6">
        <w:rPr>
          <w:i w:val="0"/>
          <w:iCs/>
          <w:sz w:val="18"/>
          <w:szCs w:val="18"/>
        </w:rPr>
        <w:fldChar w:fldCharType="separate"/>
      </w:r>
      <w:r w:rsidRPr="00943BE6">
        <w:rPr>
          <w:i w:val="0"/>
          <w:iCs/>
          <w:sz w:val="18"/>
          <w:szCs w:val="18"/>
        </w:rPr>
        <w:t>2</w:t>
      </w:r>
      <w:r w:rsidRPr="00943BE6">
        <w:rPr>
          <w:i w:val="0"/>
          <w:iCs/>
          <w:sz w:val="18"/>
          <w:szCs w:val="18"/>
        </w:rPr>
        <w:fldChar w:fldCharType="end"/>
      </w:r>
      <w:bookmarkEnd w:id="16"/>
      <w:r w:rsidRPr="00943BE6">
        <w:rPr>
          <w:i w:val="0"/>
          <w:iCs/>
          <w:sz w:val="18"/>
          <w:szCs w:val="18"/>
        </w:rPr>
        <w:t xml:space="preserve">. </w:t>
      </w:r>
      <w:r w:rsidR="00BD7D06" w:rsidRPr="00943BE6">
        <w:rPr>
          <w:b w:val="0"/>
          <w:bCs/>
          <w:i w:val="0"/>
          <w:iCs/>
          <w:sz w:val="18"/>
          <w:szCs w:val="18"/>
        </w:rPr>
        <w:t>Quantitative evaluation results of deep learning models under the original USD scale and percentage-based error metrics.</w:t>
      </w:r>
    </w:p>
    <w:tbl>
      <w:tblPr>
        <w:tblStyle w:val="TableGridLight"/>
        <w:tblW w:w="0" w:type="auto"/>
        <w:jc w:val="center"/>
        <w:tblLook w:val="04A0" w:firstRow="1" w:lastRow="0" w:firstColumn="1" w:lastColumn="0" w:noHBand="0" w:noVBand="1"/>
      </w:tblPr>
      <w:tblGrid>
        <w:gridCol w:w="1521"/>
        <w:gridCol w:w="1214"/>
        <w:gridCol w:w="1373"/>
        <w:gridCol w:w="1443"/>
        <w:gridCol w:w="1345"/>
        <w:gridCol w:w="1215"/>
        <w:gridCol w:w="801"/>
      </w:tblGrid>
      <w:tr w:rsidR="00BE7C67" w:rsidRPr="00943BE6" w14:paraId="7BE80370" w14:textId="77777777" w:rsidTr="00BE7C67">
        <w:trPr>
          <w:jc w:val="center"/>
        </w:trPr>
        <w:tc>
          <w:tcPr>
            <w:tcW w:w="0" w:type="auto"/>
            <w:hideMark/>
          </w:tcPr>
          <w:p w14:paraId="49B17D22" w14:textId="77777777"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b/>
                <w:bCs/>
                <w:sz w:val="18"/>
                <w:szCs w:val="18"/>
              </w:rPr>
            </w:pPr>
            <w:r w:rsidRPr="00943BE6">
              <w:rPr>
                <w:rFonts w:ascii="Palatino Linotype" w:hAnsi="Palatino Linotype"/>
                <w:b/>
                <w:bCs/>
                <w:sz w:val="18"/>
                <w:szCs w:val="18"/>
              </w:rPr>
              <w:t>Configuration</w:t>
            </w:r>
          </w:p>
        </w:tc>
        <w:tc>
          <w:tcPr>
            <w:tcW w:w="0" w:type="auto"/>
            <w:hideMark/>
          </w:tcPr>
          <w:p w14:paraId="391A5340" w14:textId="77777777"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b/>
                <w:bCs/>
                <w:sz w:val="18"/>
                <w:szCs w:val="18"/>
              </w:rPr>
            </w:pPr>
            <w:r w:rsidRPr="00943BE6">
              <w:rPr>
                <w:rFonts w:ascii="Palatino Linotype" w:hAnsi="Palatino Linotype"/>
                <w:b/>
                <w:bCs/>
                <w:sz w:val="18"/>
                <w:szCs w:val="18"/>
              </w:rPr>
              <w:t>Model</w:t>
            </w:r>
          </w:p>
        </w:tc>
        <w:tc>
          <w:tcPr>
            <w:tcW w:w="0" w:type="auto"/>
            <w:hideMark/>
          </w:tcPr>
          <w:p w14:paraId="41F8862E"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b/>
                <w:bCs/>
                <w:sz w:val="18"/>
                <w:szCs w:val="18"/>
              </w:rPr>
            </w:pPr>
            <w:r w:rsidRPr="00943BE6">
              <w:rPr>
                <w:rFonts w:ascii="Palatino Linotype" w:hAnsi="Palatino Linotype"/>
                <w:b/>
                <w:bCs/>
                <w:sz w:val="18"/>
                <w:szCs w:val="18"/>
              </w:rPr>
              <w:t xml:space="preserve">MSE (USD²) </w:t>
            </w:r>
            <w:r w:rsidRPr="00943BE6">
              <w:rPr>
                <w:b/>
                <w:bCs/>
                <w:sz w:val="18"/>
                <w:szCs w:val="18"/>
              </w:rPr>
              <w:t>↓</w:t>
            </w:r>
          </w:p>
        </w:tc>
        <w:tc>
          <w:tcPr>
            <w:tcW w:w="0" w:type="auto"/>
            <w:hideMark/>
          </w:tcPr>
          <w:p w14:paraId="76407AEF"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b/>
                <w:bCs/>
                <w:sz w:val="18"/>
                <w:szCs w:val="18"/>
              </w:rPr>
            </w:pPr>
            <w:r w:rsidRPr="00943BE6">
              <w:rPr>
                <w:rFonts w:ascii="Palatino Linotype" w:hAnsi="Palatino Linotype"/>
                <w:b/>
                <w:bCs/>
                <w:sz w:val="18"/>
                <w:szCs w:val="18"/>
              </w:rPr>
              <w:t xml:space="preserve">RMSE (USD) </w:t>
            </w:r>
            <w:r w:rsidRPr="00943BE6">
              <w:rPr>
                <w:b/>
                <w:bCs/>
                <w:sz w:val="18"/>
                <w:szCs w:val="18"/>
              </w:rPr>
              <w:t>↓</w:t>
            </w:r>
          </w:p>
        </w:tc>
        <w:tc>
          <w:tcPr>
            <w:tcW w:w="0" w:type="auto"/>
            <w:hideMark/>
          </w:tcPr>
          <w:p w14:paraId="22B91611"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b/>
                <w:bCs/>
                <w:sz w:val="18"/>
                <w:szCs w:val="18"/>
              </w:rPr>
            </w:pPr>
            <w:r w:rsidRPr="00943BE6">
              <w:rPr>
                <w:rFonts w:ascii="Palatino Linotype" w:hAnsi="Palatino Linotype"/>
                <w:b/>
                <w:bCs/>
                <w:sz w:val="18"/>
                <w:szCs w:val="18"/>
              </w:rPr>
              <w:t xml:space="preserve">MAE (USD) </w:t>
            </w:r>
            <w:r w:rsidRPr="00943BE6">
              <w:rPr>
                <w:b/>
                <w:bCs/>
                <w:sz w:val="18"/>
                <w:szCs w:val="18"/>
              </w:rPr>
              <w:t>↓</w:t>
            </w:r>
          </w:p>
        </w:tc>
        <w:tc>
          <w:tcPr>
            <w:tcW w:w="0" w:type="auto"/>
            <w:hideMark/>
          </w:tcPr>
          <w:p w14:paraId="31904BBD"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b/>
                <w:bCs/>
                <w:sz w:val="18"/>
                <w:szCs w:val="18"/>
              </w:rPr>
            </w:pPr>
            <w:r w:rsidRPr="00943BE6">
              <w:rPr>
                <w:rFonts w:ascii="Palatino Linotype" w:hAnsi="Palatino Linotype"/>
                <w:b/>
                <w:bCs/>
                <w:sz w:val="18"/>
                <w:szCs w:val="18"/>
              </w:rPr>
              <w:t xml:space="preserve">MAPE (%) </w:t>
            </w:r>
            <w:r w:rsidRPr="00943BE6">
              <w:rPr>
                <w:b/>
                <w:bCs/>
                <w:sz w:val="18"/>
                <w:szCs w:val="18"/>
              </w:rPr>
              <w:t>↓</w:t>
            </w:r>
          </w:p>
        </w:tc>
        <w:tc>
          <w:tcPr>
            <w:tcW w:w="0" w:type="auto"/>
            <w:hideMark/>
          </w:tcPr>
          <w:p w14:paraId="07B66908"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b/>
                <w:bCs/>
                <w:sz w:val="18"/>
                <w:szCs w:val="18"/>
              </w:rPr>
            </w:pPr>
            <w:r w:rsidRPr="00943BE6">
              <w:rPr>
                <w:rFonts w:ascii="Palatino Linotype" w:hAnsi="Palatino Linotype"/>
                <w:b/>
                <w:bCs/>
                <w:sz w:val="18"/>
                <w:szCs w:val="18"/>
              </w:rPr>
              <w:t xml:space="preserve">R² </w:t>
            </w:r>
            <w:r w:rsidRPr="00943BE6">
              <w:rPr>
                <w:b/>
                <w:bCs/>
                <w:sz w:val="18"/>
                <w:szCs w:val="18"/>
              </w:rPr>
              <w:t>↑</w:t>
            </w:r>
          </w:p>
        </w:tc>
      </w:tr>
      <w:tr w:rsidR="00BE7C67" w:rsidRPr="00943BE6" w14:paraId="612F767C" w14:textId="77777777" w:rsidTr="00BE7C67">
        <w:trPr>
          <w:jc w:val="center"/>
        </w:trPr>
        <w:tc>
          <w:tcPr>
            <w:tcW w:w="0" w:type="auto"/>
            <w:vMerge w:val="restart"/>
            <w:vAlign w:val="center"/>
            <w:hideMark/>
          </w:tcPr>
          <w:p w14:paraId="53688AE9" w14:textId="011EC546"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b/>
                <w:bCs/>
                <w:sz w:val="18"/>
                <w:szCs w:val="18"/>
              </w:rPr>
            </w:pPr>
            <w:r w:rsidRPr="00943BE6">
              <w:rPr>
                <w:rFonts w:ascii="Palatino Linotype" w:hAnsi="Palatino Linotype"/>
                <w:b/>
                <w:bCs/>
                <w:sz w:val="18"/>
                <w:szCs w:val="18"/>
              </w:rPr>
              <w:t>Configuration 1</w:t>
            </w:r>
          </w:p>
          <w:p w14:paraId="0ED8CDFC" w14:textId="085F8471"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b/>
                <w:bCs/>
                <w:sz w:val="18"/>
                <w:szCs w:val="18"/>
              </w:rPr>
            </w:pPr>
            <w:r w:rsidRPr="00943BE6">
              <w:rPr>
                <w:rFonts w:ascii="Palatino Linotype" w:hAnsi="Palatino Linotype"/>
                <w:b/>
                <w:bCs/>
                <w:sz w:val="18"/>
                <w:szCs w:val="18"/>
              </w:rPr>
              <w:t>(10,3)</w:t>
            </w:r>
          </w:p>
        </w:tc>
        <w:tc>
          <w:tcPr>
            <w:tcW w:w="0" w:type="auto"/>
            <w:hideMark/>
          </w:tcPr>
          <w:p w14:paraId="2E62FE69"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LSTM</w:t>
            </w:r>
          </w:p>
        </w:tc>
        <w:tc>
          <w:tcPr>
            <w:tcW w:w="0" w:type="auto"/>
            <w:hideMark/>
          </w:tcPr>
          <w:p w14:paraId="26C6CF06"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10.44×10⁶</w:t>
            </w:r>
          </w:p>
        </w:tc>
        <w:tc>
          <w:tcPr>
            <w:tcW w:w="0" w:type="auto"/>
            <w:hideMark/>
          </w:tcPr>
          <w:p w14:paraId="3400DA98"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3,228</w:t>
            </w:r>
          </w:p>
        </w:tc>
        <w:tc>
          <w:tcPr>
            <w:tcW w:w="0" w:type="auto"/>
            <w:hideMark/>
          </w:tcPr>
          <w:p w14:paraId="1FCEC2A7"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2,227</w:t>
            </w:r>
          </w:p>
        </w:tc>
        <w:tc>
          <w:tcPr>
            <w:tcW w:w="0" w:type="auto"/>
            <w:hideMark/>
          </w:tcPr>
          <w:p w14:paraId="5A0E3471"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2.62</w:t>
            </w:r>
          </w:p>
        </w:tc>
        <w:tc>
          <w:tcPr>
            <w:tcW w:w="0" w:type="auto"/>
            <w:hideMark/>
          </w:tcPr>
          <w:p w14:paraId="6DFEC098"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0.99051</w:t>
            </w:r>
          </w:p>
        </w:tc>
      </w:tr>
      <w:tr w:rsidR="00BE7C67" w:rsidRPr="00943BE6" w14:paraId="18CADDF6" w14:textId="77777777" w:rsidTr="00BE7C67">
        <w:trPr>
          <w:jc w:val="center"/>
        </w:trPr>
        <w:tc>
          <w:tcPr>
            <w:tcW w:w="0" w:type="auto"/>
            <w:vMerge/>
            <w:vAlign w:val="center"/>
            <w:hideMark/>
          </w:tcPr>
          <w:p w14:paraId="74E16935" w14:textId="77777777"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sz w:val="18"/>
                <w:szCs w:val="18"/>
              </w:rPr>
            </w:pPr>
          </w:p>
        </w:tc>
        <w:tc>
          <w:tcPr>
            <w:tcW w:w="0" w:type="auto"/>
            <w:hideMark/>
          </w:tcPr>
          <w:p w14:paraId="068E0141"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b/>
                <w:bCs/>
                <w:sz w:val="18"/>
                <w:szCs w:val="18"/>
              </w:rPr>
              <w:t>GRU</w:t>
            </w:r>
          </w:p>
        </w:tc>
        <w:tc>
          <w:tcPr>
            <w:tcW w:w="0" w:type="auto"/>
            <w:hideMark/>
          </w:tcPr>
          <w:p w14:paraId="10D2DCC7"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9.70×10⁶</w:t>
            </w:r>
          </w:p>
        </w:tc>
        <w:tc>
          <w:tcPr>
            <w:tcW w:w="0" w:type="auto"/>
            <w:hideMark/>
          </w:tcPr>
          <w:p w14:paraId="046C80AF"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3,117</w:t>
            </w:r>
          </w:p>
        </w:tc>
        <w:tc>
          <w:tcPr>
            <w:tcW w:w="0" w:type="auto"/>
            <w:hideMark/>
          </w:tcPr>
          <w:p w14:paraId="51916A80"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2,117</w:t>
            </w:r>
          </w:p>
        </w:tc>
        <w:tc>
          <w:tcPr>
            <w:tcW w:w="0" w:type="auto"/>
            <w:hideMark/>
          </w:tcPr>
          <w:p w14:paraId="52AFA1CA"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2.49</w:t>
            </w:r>
          </w:p>
        </w:tc>
        <w:tc>
          <w:tcPr>
            <w:tcW w:w="0" w:type="auto"/>
            <w:hideMark/>
          </w:tcPr>
          <w:p w14:paraId="36DEB4CD"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0.99114</w:t>
            </w:r>
          </w:p>
        </w:tc>
      </w:tr>
      <w:tr w:rsidR="00BE7C67" w:rsidRPr="00943BE6" w14:paraId="33509804" w14:textId="77777777" w:rsidTr="00BE7C67">
        <w:trPr>
          <w:jc w:val="center"/>
        </w:trPr>
        <w:tc>
          <w:tcPr>
            <w:tcW w:w="0" w:type="auto"/>
            <w:vMerge/>
            <w:vAlign w:val="center"/>
            <w:hideMark/>
          </w:tcPr>
          <w:p w14:paraId="39B1F6C4" w14:textId="77777777"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sz w:val="18"/>
                <w:szCs w:val="18"/>
              </w:rPr>
            </w:pPr>
          </w:p>
        </w:tc>
        <w:tc>
          <w:tcPr>
            <w:tcW w:w="0" w:type="auto"/>
            <w:hideMark/>
          </w:tcPr>
          <w:p w14:paraId="7B549338"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Bi-LSTM</w:t>
            </w:r>
          </w:p>
        </w:tc>
        <w:tc>
          <w:tcPr>
            <w:tcW w:w="0" w:type="auto"/>
            <w:hideMark/>
          </w:tcPr>
          <w:p w14:paraId="76A0B943"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11.44×10⁶</w:t>
            </w:r>
          </w:p>
        </w:tc>
        <w:tc>
          <w:tcPr>
            <w:tcW w:w="0" w:type="auto"/>
            <w:hideMark/>
          </w:tcPr>
          <w:p w14:paraId="0EF02B2A"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3,387</w:t>
            </w:r>
          </w:p>
        </w:tc>
        <w:tc>
          <w:tcPr>
            <w:tcW w:w="0" w:type="auto"/>
            <w:hideMark/>
          </w:tcPr>
          <w:p w14:paraId="2EB4AC6C"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2,347</w:t>
            </w:r>
          </w:p>
        </w:tc>
        <w:tc>
          <w:tcPr>
            <w:tcW w:w="0" w:type="auto"/>
            <w:hideMark/>
          </w:tcPr>
          <w:p w14:paraId="64476D9E"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2.76</w:t>
            </w:r>
          </w:p>
        </w:tc>
        <w:tc>
          <w:tcPr>
            <w:tcW w:w="0" w:type="auto"/>
            <w:hideMark/>
          </w:tcPr>
          <w:p w14:paraId="2345440E"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0.98956</w:t>
            </w:r>
          </w:p>
        </w:tc>
      </w:tr>
      <w:tr w:rsidR="00BE7C67" w:rsidRPr="00943BE6" w14:paraId="0BCFD574" w14:textId="77777777" w:rsidTr="00BE7C67">
        <w:trPr>
          <w:jc w:val="center"/>
        </w:trPr>
        <w:tc>
          <w:tcPr>
            <w:tcW w:w="0" w:type="auto"/>
            <w:vMerge/>
            <w:vAlign w:val="center"/>
            <w:hideMark/>
          </w:tcPr>
          <w:p w14:paraId="35E49D82" w14:textId="77777777"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sz w:val="18"/>
                <w:szCs w:val="18"/>
              </w:rPr>
            </w:pPr>
          </w:p>
        </w:tc>
        <w:tc>
          <w:tcPr>
            <w:tcW w:w="0" w:type="auto"/>
            <w:hideMark/>
          </w:tcPr>
          <w:p w14:paraId="1E7B45B7"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Transformer</w:t>
            </w:r>
          </w:p>
        </w:tc>
        <w:tc>
          <w:tcPr>
            <w:tcW w:w="0" w:type="auto"/>
            <w:hideMark/>
          </w:tcPr>
          <w:p w14:paraId="7A2E4DE0"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13.67×10⁶</w:t>
            </w:r>
          </w:p>
        </w:tc>
        <w:tc>
          <w:tcPr>
            <w:tcW w:w="0" w:type="auto"/>
            <w:hideMark/>
          </w:tcPr>
          <w:p w14:paraId="5D6E86C1"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3,706</w:t>
            </w:r>
          </w:p>
        </w:tc>
        <w:tc>
          <w:tcPr>
            <w:tcW w:w="0" w:type="auto"/>
            <w:hideMark/>
          </w:tcPr>
          <w:p w14:paraId="74348808"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2,640</w:t>
            </w:r>
          </w:p>
        </w:tc>
        <w:tc>
          <w:tcPr>
            <w:tcW w:w="0" w:type="auto"/>
            <w:hideMark/>
          </w:tcPr>
          <w:p w14:paraId="1E5386A8"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3.11</w:t>
            </w:r>
          </w:p>
        </w:tc>
        <w:tc>
          <w:tcPr>
            <w:tcW w:w="0" w:type="auto"/>
            <w:hideMark/>
          </w:tcPr>
          <w:p w14:paraId="0561964E"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0.98749</w:t>
            </w:r>
          </w:p>
        </w:tc>
      </w:tr>
      <w:tr w:rsidR="00BE7C67" w:rsidRPr="00943BE6" w14:paraId="3FBF2BAC" w14:textId="77777777" w:rsidTr="00BE7C67">
        <w:trPr>
          <w:jc w:val="center"/>
        </w:trPr>
        <w:tc>
          <w:tcPr>
            <w:tcW w:w="0" w:type="auto"/>
            <w:vMerge/>
            <w:vAlign w:val="center"/>
            <w:hideMark/>
          </w:tcPr>
          <w:p w14:paraId="3F3C6F93" w14:textId="77777777"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sz w:val="18"/>
                <w:szCs w:val="18"/>
              </w:rPr>
            </w:pPr>
          </w:p>
        </w:tc>
        <w:tc>
          <w:tcPr>
            <w:tcW w:w="0" w:type="auto"/>
            <w:hideMark/>
          </w:tcPr>
          <w:p w14:paraId="0C91293B"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1D-CNN</w:t>
            </w:r>
          </w:p>
        </w:tc>
        <w:tc>
          <w:tcPr>
            <w:tcW w:w="0" w:type="auto"/>
            <w:hideMark/>
          </w:tcPr>
          <w:p w14:paraId="37E77335"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12.68×10⁶</w:t>
            </w:r>
          </w:p>
        </w:tc>
        <w:tc>
          <w:tcPr>
            <w:tcW w:w="0" w:type="auto"/>
            <w:hideMark/>
          </w:tcPr>
          <w:p w14:paraId="453B89A0"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3,569</w:t>
            </w:r>
          </w:p>
        </w:tc>
        <w:tc>
          <w:tcPr>
            <w:tcW w:w="0" w:type="auto"/>
            <w:hideMark/>
          </w:tcPr>
          <w:p w14:paraId="181BA302"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2,541</w:t>
            </w:r>
          </w:p>
        </w:tc>
        <w:tc>
          <w:tcPr>
            <w:tcW w:w="0" w:type="auto"/>
            <w:hideMark/>
          </w:tcPr>
          <w:p w14:paraId="77493C12"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2.99</w:t>
            </w:r>
          </w:p>
        </w:tc>
        <w:tc>
          <w:tcPr>
            <w:tcW w:w="0" w:type="auto"/>
            <w:hideMark/>
          </w:tcPr>
          <w:p w14:paraId="4F926F28"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0.98840</w:t>
            </w:r>
          </w:p>
        </w:tc>
      </w:tr>
      <w:tr w:rsidR="00BE7C67" w:rsidRPr="00943BE6" w14:paraId="4857D8BF" w14:textId="77777777" w:rsidTr="00BE7C67">
        <w:trPr>
          <w:jc w:val="center"/>
        </w:trPr>
        <w:tc>
          <w:tcPr>
            <w:tcW w:w="0" w:type="auto"/>
            <w:vMerge w:val="restart"/>
            <w:vAlign w:val="center"/>
            <w:hideMark/>
          </w:tcPr>
          <w:p w14:paraId="372B4AD1" w14:textId="1482B3E6"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b/>
                <w:bCs/>
                <w:sz w:val="18"/>
                <w:szCs w:val="18"/>
              </w:rPr>
            </w:pPr>
            <w:r w:rsidRPr="00943BE6">
              <w:rPr>
                <w:rFonts w:ascii="Palatino Linotype" w:hAnsi="Palatino Linotype"/>
                <w:b/>
                <w:bCs/>
                <w:sz w:val="18"/>
                <w:szCs w:val="18"/>
              </w:rPr>
              <w:t>Configuration 2</w:t>
            </w:r>
          </w:p>
          <w:p w14:paraId="23FB2CAB" w14:textId="6CA5FEC2"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sz w:val="18"/>
                <w:szCs w:val="18"/>
              </w:rPr>
            </w:pPr>
            <w:r w:rsidRPr="00943BE6">
              <w:rPr>
                <w:rFonts w:ascii="Palatino Linotype" w:hAnsi="Palatino Linotype"/>
                <w:b/>
                <w:bCs/>
                <w:sz w:val="18"/>
                <w:szCs w:val="18"/>
              </w:rPr>
              <w:t>(15,5)</w:t>
            </w:r>
          </w:p>
        </w:tc>
        <w:tc>
          <w:tcPr>
            <w:tcW w:w="0" w:type="auto"/>
            <w:hideMark/>
          </w:tcPr>
          <w:p w14:paraId="75ED6506"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LSTM</w:t>
            </w:r>
          </w:p>
        </w:tc>
        <w:tc>
          <w:tcPr>
            <w:tcW w:w="0" w:type="auto"/>
            <w:hideMark/>
          </w:tcPr>
          <w:p w14:paraId="2F498D45"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14.42×10⁶</w:t>
            </w:r>
          </w:p>
        </w:tc>
        <w:tc>
          <w:tcPr>
            <w:tcW w:w="0" w:type="auto"/>
            <w:hideMark/>
          </w:tcPr>
          <w:p w14:paraId="33BD4DBC"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3,790</w:t>
            </w:r>
          </w:p>
        </w:tc>
        <w:tc>
          <w:tcPr>
            <w:tcW w:w="0" w:type="auto"/>
            <w:hideMark/>
          </w:tcPr>
          <w:p w14:paraId="005BEB95"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2,614</w:t>
            </w:r>
          </w:p>
        </w:tc>
        <w:tc>
          <w:tcPr>
            <w:tcW w:w="0" w:type="auto"/>
            <w:hideMark/>
          </w:tcPr>
          <w:p w14:paraId="61697524"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3.07</w:t>
            </w:r>
          </w:p>
        </w:tc>
        <w:tc>
          <w:tcPr>
            <w:tcW w:w="0" w:type="auto"/>
            <w:hideMark/>
          </w:tcPr>
          <w:p w14:paraId="25BFC0E5"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0.98682</w:t>
            </w:r>
          </w:p>
        </w:tc>
      </w:tr>
      <w:tr w:rsidR="00BE7C67" w:rsidRPr="00943BE6" w14:paraId="5FE8680F" w14:textId="77777777" w:rsidTr="00BE7C67">
        <w:trPr>
          <w:jc w:val="center"/>
        </w:trPr>
        <w:tc>
          <w:tcPr>
            <w:tcW w:w="0" w:type="auto"/>
            <w:vMerge/>
            <w:vAlign w:val="center"/>
            <w:hideMark/>
          </w:tcPr>
          <w:p w14:paraId="6D230322" w14:textId="77777777"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sz w:val="18"/>
                <w:szCs w:val="18"/>
              </w:rPr>
            </w:pPr>
          </w:p>
        </w:tc>
        <w:tc>
          <w:tcPr>
            <w:tcW w:w="0" w:type="auto"/>
            <w:hideMark/>
          </w:tcPr>
          <w:p w14:paraId="733C10D5"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b/>
                <w:bCs/>
                <w:sz w:val="18"/>
                <w:szCs w:val="18"/>
              </w:rPr>
              <w:t>GRU</w:t>
            </w:r>
          </w:p>
        </w:tc>
        <w:tc>
          <w:tcPr>
            <w:tcW w:w="0" w:type="auto"/>
            <w:hideMark/>
          </w:tcPr>
          <w:p w14:paraId="625EA15B"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14.17×10⁶</w:t>
            </w:r>
          </w:p>
        </w:tc>
        <w:tc>
          <w:tcPr>
            <w:tcW w:w="0" w:type="auto"/>
            <w:hideMark/>
          </w:tcPr>
          <w:p w14:paraId="63610223"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3,767</w:t>
            </w:r>
          </w:p>
        </w:tc>
        <w:tc>
          <w:tcPr>
            <w:tcW w:w="0" w:type="auto"/>
            <w:hideMark/>
          </w:tcPr>
          <w:p w14:paraId="1B9BF001"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2,607</w:t>
            </w:r>
          </w:p>
        </w:tc>
        <w:tc>
          <w:tcPr>
            <w:tcW w:w="0" w:type="auto"/>
            <w:hideMark/>
          </w:tcPr>
          <w:p w14:paraId="4853106F"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3.06</w:t>
            </w:r>
          </w:p>
        </w:tc>
        <w:tc>
          <w:tcPr>
            <w:tcW w:w="0" w:type="auto"/>
            <w:hideMark/>
          </w:tcPr>
          <w:p w14:paraId="35AA4366"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0.98699</w:t>
            </w:r>
          </w:p>
        </w:tc>
      </w:tr>
      <w:tr w:rsidR="00BE7C67" w:rsidRPr="00943BE6" w14:paraId="18A02EA3" w14:textId="77777777" w:rsidTr="00BE7C67">
        <w:trPr>
          <w:jc w:val="center"/>
        </w:trPr>
        <w:tc>
          <w:tcPr>
            <w:tcW w:w="0" w:type="auto"/>
            <w:vMerge/>
            <w:vAlign w:val="center"/>
            <w:hideMark/>
          </w:tcPr>
          <w:p w14:paraId="71ECF6A4" w14:textId="77777777"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sz w:val="18"/>
                <w:szCs w:val="18"/>
              </w:rPr>
            </w:pPr>
          </w:p>
        </w:tc>
        <w:tc>
          <w:tcPr>
            <w:tcW w:w="0" w:type="auto"/>
            <w:hideMark/>
          </w:tcPr>
          <w:p w14:paraId="2ABEE0B3"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Bi-LSTM</w:t>
            </w:r>
          </w:p>
        </w:tc>
        <w:tc>
          <w:tcPr>
            <w:tcW w:w="0" w:type="auto"/>
            <w:hideMark/>
          </w:tcPr>
          <w:p w14:paraId="77BEF4E3"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15.29×10⁶</w:t>
            </w:r>
          </w:p>
        </w:tc>
        <w:tc>
          <w:tcPr>
            <w:tcW w:w="0" w:type="auto"/>
            <w:hideMark/>
          </w:tcPr>
          <w:p w14:paraId="73C59BB4"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3,915</w:t>
            </w:r>
          </w:p>
        </w:tc>
        <w:tc>
          <w:tcPr>
            <w:tcW w:w="0" w:type="auto"/>
            <w:hideMark/>
          </w:tcPr>
          <w:p w14:paraId="7EF33050"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2,682</w:t>
            </w:r>
          </w:p>
        </w:tc>
        <w:tc>
          <w:tcPr>
            <w:tcW w:w="0" w:type="auto"/>
            <w:hideMark/>
          </w:tcPr>
          <w:p w14:paraId="52916ADE"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3.15</w:t>
            </w:r>
          </w:p>
        </w:tc>
        <w:tc>
          <w:tcPr>
            <w:tcW w:w="0" w:type="auto"/>
            <w:hideMark/>
          </w:tcPr>
          <w:p w14:paraId="2FBD9F97"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0.98594</w:t>
            </w:r>
          </w:p>
        </w:tc>
      </w:tr>
      <w:tr w:rsidR="00BE7C67" w:rsidRPr="00943BE6" w14:paraId="7ED15401" w14:textId="77777777" w:rsidTr="00BE7C67">
        <w:trPr>
          <w:jc w:val="center"/>
        </w:trPr>
        <w:tc>
          <w:tcPr>
            <w:tcW w:w="0" w:type="auto"/>
            <w:vMerge/>
            <w:vAlign w:val="center"/>
            <w:hideMark/>
          </w:tcPr>
          <w:p w14:paraId="5429E154" w14:textId="77777777"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sz w:val="18"/>
                <w:szCs w:val="18"/>
              </w:rPr>
            </w:pPr>
          </w:p>
        </w:tc>
        <w:tc>
          <w:tcPr>
            <w:tcW w:w="0" w:type="auto"/>
            <w:hideMark/>
          </w:tcPr>
          <w:p w14:paraId="65B6439B"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Transformer</w:t>
            </w:r>
          </w:p>
        </w:tc>
        <w:tc>
          <w:tcPr>
            <w:tcW w:w="0" w:type="auto"/>
            <w:hideMark/>
          </w:tcPr>
          <w:p w14:paraId="1C4C8753"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21.01×10⁶</w:t>
            </w:r>
          </w:p>
        </w:tc>
        <w:tc>
          <w:tcPr>
            <w:tcW w:w="0" w:type="auto"/>
            <w:hideMark/>
          </w:tcPr>
          <w:p w14:paraId="3EF031DA"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4,587</w:t>
            </w:r>
          </w:p>
        </w:tc>
        <w:tc>
          <w:tcPr>
            <w:tcW w:w="0" w:type="auto"/>
            <w:hideMark/>
          </w:tcPr>
          <w:p w14:paraId="1FB5429A"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3,334</w:t>
            </w:r>
          </w:p>
        </w:tc>
        <w:tc>
          <w:tcPr>
            <w:tcW w:w="0" w:type="auto"/>
            <w:hideMark/>
          </w:tcPr>
          <w:p w14:paraId="07C8CF96"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3.92</w:t>
            </w:r>
          </w:p>
        </w:tc>
        <w:tc>
          <w:tcPr>
            <w:tcW w:w="0" w:type="auto"/>
            <w:hideMark/>
          </w:tcPr>
          <w:p w14:paraId="3DD06577"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0.98069</w:t>
            </w:r>
          </w:p>
        </w:tc>
      </w:tr>
      <w:tr w:rsidR="00BE7C67" w:rsidRPr="00943BE6" w14:paraId="15B19A74" w14:textId="77777777" w:rsidTr="00BE7C67">
        <w:trPr>
          <w:jc w:val="center"/>
        </w:trPr>
        <w:tc>
          <w:tcPr>
            <w:tcW w:w="0" w:type="auto"/>
            <w:vMerge/>
            <w:vAlign w:val="center"/>
            <w:hideMark/>
          </w:tcPr>
          <w:p w14:paraId="3F909908" w14:textId="77777777"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sz w:val="18"/>
                <w:szCs w:val="18"/>
              </w:rPr>
            </w:pPr>
          </w:p>
        </w:tc>
        <w:tc>
          <w:tcPr>
            <w:tcW w:w="0" w:type="auto"/>
            <w:hideMark/>
          </w:tcPr>
          <w:p w14:paraId="294BACB0"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1D-CNN</w:t>
            </w:r>
          </w:p>
        </w:tc>
        <w:tc>
          <w:tcPr>
            <w:tcW w:w="0" w:type="auto"/>
            <w:hideMark/>
          </w:tcPr>
          <w:p w14:paraId="572C9B2D"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23.49×10⁶</w:t>
            </w:r>
          </w:p>
        </w:tc>
        <w:tc>
          <w:tcPr>
            <w:tcW w:w="0" w:type="auto"/>
            <w:hideMark/>
          </w:tcPr>
          <w:p w14:paraId="6549F2E0"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4,847</w:t>
            </w:r>
          </w:p>
        </w:tc>
        <w:tc>
          <w:tcPr>
            <w:tcW w:w="0" w:type="auto"/>
            <w:hideMark/>
          </w:tcPr>
          <w:p w14:paraId="60F759EF"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3,382</w:t>
            </w:r>
          </w:p>
        </w:tc>
        <w:tc>
          <w:tcPr>
            <w:tcW w:w="0" w:type="auto"/>
            <w:hideMark/>
          </w:tcPr>
          <w:p w14:paraId="0C420882"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3.98</w:t>
            </w:r>
          </w:p>
        </w:tc>
        <w:tc>
          <w:tcPr>
            <w:tcW w:w="0" w:type="auto"/>
            <w:hideMark/>
          </w:tcPr>
          <w:p w14:paraId="5C4D1F2B"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0.97845</w:t>
            </w:r>
          </w:p>
        </w:tc>
      </w:tr>
      <w:tr w:rsidR="00BE7C67" w:rsidRPr="00943BE6" w14:paraId="714ADC7D" w14:textId="77777777" w:rsidTr="00BE7C67">
        <w:trPr>
          <w:jc w:val="center"/>
        </w:trPr>
        <w:tc>
          <w:tcPr>
            <w:tcW w:w="0" w:type="auto"/>
            <w:vMerge w:val="restart"/>
            <w:vAlign w:val="center"/>
            <w:hideMark/>
          </w:tcPr>
          <w:p w14:paraId="064ADD77" w14:textId="753C2B23"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b/>
                <w:bCs/>
                <w:sz w:val="18"/>
                <w:szCs w:val="18"/>
              </w:rPr>
            </w:pPr>
            <w:r w:rsidRPr="00943BE6">
              <w:rPr>
                <w:rFonts w:ascii="Palatino Linotype" w:hAnsi="Palatino Linotype"/>
                <w:b/>
                <w:bCs/>
                <w:sz w:val="18"/>
                <w:szCs w:val="18"/>
              </w:rPr>
              <w:t>Configuration 3</w:t>
            </w:r>
          </w:p>
          <w:p w14:paraId="597F01D8" w14:textId="12E214F6" w:rsidR="00BE7C67" w:rsidRPr="00943BE6" w:rsidRDefault="00BE7C67" w:rsidP="00BE7C67">
            <w:pPr>
              <w:overflowPunct/>
              <w:autoSpaceDE/>
              <w:autoSpaceDN/>
              <w:adjustRightInd/>
              <w:spacing w:line="240" w:lineRule="auto"/>
              <w:ind w:firstLine="0"/>
              <w:jc w:val="center"/>
              <w:textAlignment w:val="auto"/>
              <w:rPr>
                <w:rFonts w:ascii="Palatino Linotype" w:hAnsi="Palatino Linotype"/>
                <w:sz w:val="18"/>
                <w:szCs w:val="18"/>
              </w:rPr>
            </w:pPr>
            <w:r w:rsidRPr="00943BE6">
              <w:rPr>
                <w:rFonts w:ascii="Palatino Linotype" w:hAnsi="Palatino Linotype"/>
                <w:b/>
                <w:bCs/>
                <w:sz w:val="18"/>
                <w:szCs w:val="18"/>
              </w:rPr>
              <w:t>(21,7)</w:t>
            </w:r>
          </w:p>
        </w:tc>
        <w:tc>
          <w:tcPr>
            <w:tcW w:w="0" w:type="auto"/>
            <w:hideMark/>
          </w:tcPr>
          <w:p w14:paraId="7876B406"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LSTM</w:t>
            </w:r>
          </w:p>
        </w:tc>
        <w:tc>
          <w:tcPr>
            <w:tcW w:w="0" w:type="auto"/>
            <w:hideMark/>
          </w:tcPr>
          <w:p w14:paraId="7CE55458"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20.88×10⁶</w:t>
            </w:r>
          </w:p>
        </w:tc>
        <w:tc>
          <w:tcPr>
            <w:tcW w:w="0" w:type="auto"/>
            <w:hideMark/>
          </w:tcPr>
          <w:p w14:paraId="04E1B214"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4,571</w:t>
            </w:r>
          </w:p>
        </w:tc>
        <w:tc>
          <w:tcPr>
            <w:tcW w:w="0" w:type="auto"/>
            <w:hideMark/>
          </w:tcPr>
          <w:p w14:paraId="6179515A"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3,239</w:t>
            </w:r>
          </w:p>
        </w:tc>
        <w:tc>
          <w:tcPr>
            <w:tcW w:w="0" w:type="auto"/>
            <w:hideMark/>
          </w:tcPr>
          <w:p w14:paraId="0632CA5B"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3.81</w:t>
            </w:r>
          </w:p>
        </w:tc>
        <w:tc>
          <w:tcPr>
            <w:tcW w:w="0" w:type="auto"/>
            <w:hideMark/>
          </w:tcPr>
          <w:p w14:paraId="6589C4AC"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0.98065</w:t>
            </w:r>
          </w:p>
        </w:tc>
      </w:tr>
      <w:tr w:rsidR="00BE7C67" w:rsidRPr="00943BE6" w14:paraId="09C0CC9E" w14:textId="77777777" w:rsidTr="00BE7C67">
        <w:trPr>
          <w:jc w:val="center"/>
        </w:trPr>
        <w:tc>
          <w:tcPr>
            <w:tcW w:w="0" w:type="auto"/>
            <w:vMerge/>
            <w:hideMark/>
          </w:tcPr>
          <w:p w14:paraId="5FF997BA"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p>
        </w:tc>
        <w:tc>
          <w:tcPr>
            <w:tcW w:w="0" w:type="auto"/>
            <w:hideMark/>
          </w:tcPr>
          <w:p w14:paraId="053E9F34"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b/>
                <w:bCs/>
                <w:sz w:val="18"/>
                <w:szCs w:val="18"/>
              </w:rPr>
              <w:t>GRU</w:t>
            </w:r>
          </w:p>
        </w:tc>
        <w:tc>
          <w:tcPr>
            <w:tcW w:w="0" w:type="auto"/>
            <w:hideMark/>
          </w:tcPr>
          <w:p w14:paraId="4E6E3F31"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17.90×10⁶</w:t>
            </w:r>
          </w:p>
        </w:tc>
        <w:tc>
          <w:tcPr>
            <w:tcW w:w="0" w:type="auto"/>
            <w:hideMark/>
          </w:tcPr>
          <w:p w14:paraId="767B2891"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4,227</w:t>
            </w:r>
          </w:p>
        </w:tc>
        <w:tc>
          <w:tcPr>
            <w:tcW w:w="0" w:type="auto"/>
            <w:hideMark/>
          </w:tcPr>
          <w:p w14:paraId="6DD046D9"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2,917</w:t>
            </w:r>
          </w:p>
        </w:tc>
        <w:tc>
          <w:tcPr>
            <w:tcW w:w="0" w:type="auto"/>
            <w:hideMark/>
          </w:tcPr>
          <w:p w14:paraId="6A3ADC8E"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3.43</w:t>
            </w:r>
          </w:p>
        </w:tc>
        <w:tc>
          <w:tcPr>
            <w:tcW w:w="0" w:type="auto"/>
            <w:hideMark/>
          </w:tcPr>
          <w:p w14:paraId="6F2C18D0"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b/>
                <w:bCs/>
                <w:sz w:val="18"/>
                <w:szCs w:val="18"/>
              </w:rPr>
              <w:t>0.98346</w:t>
            </w:r>
          </w:p>
        </w:tc>
      </w:tr>
      <w:tr w:rsidR="00BE7C67" w:rsidRPr="00943BE6" w14:paraId="57EFC6E6" w14:textId="77777777" w:rsidTr="00BE7C67">
        <w:trPr>
          <w:jc w:val="center"/>
        </w:trPr>
        <w:tc>
          <w:tcPr>
            <w:tcW w:w="0" w:type="auto"/>
            <w:vMerge/>
            <w:hideMark/>
          </w:tcPr>
          <w:p w14:paraId="44766FFD"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p>
        </w:tc>
        <w:tc>
          <w:tcPr>
            <w:tcW w:w="0" w:type="auto"/>
            <w:hideMark/>
          </w:tcPr>
          <w:p w14:paraId="0EB3054B"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Bi-LSTM</w:t>
            </w:r>
          </w:p>
        </w:tc>
        <w:tc>
          <w:tcPr>
            <w:tcW w:w="0" w:type="auto"/>
            <w:hideMark/>
          </w:tcPr>
          <w:p w14:paraId="04DED38F"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21.13×10⁶</w:t>
            </w:r>
          </w:p>
        </w:tc>
        <w:tc>
          <w:tcPr>
            <w:tcW w:w="0" w:type="auto"/>
            <w:hideMark/>
          </w:tcPr>
          <w:p w14:paraId="7366C919"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4,591</w:t>
            </w:r>
          </w:p>
        </w:tc>
        <w:tc>
          <w:tcPr>
            <w:tcW w:w="0" w:type="auto"/>
            <w:hideMark/>
          </w:tcPr>
          <w:p w14:paraId="493DAE1B"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3,263</w:t>
            </w:r>
          </w:p>
        </w:tc>
        <w:tc>
          <w:tcPr>
            <w:tcW w:w="0" w:type="auto"/>
            <w:hideMark/>
          </w:tcPr>
          <w:p w14:paraId="5E4D1C8C"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3.84</w:t>
            </w:r>
          </w:p>
        </w:tc>
        <w:tc>
          <w:tcPr>
            <w:tcW w:w="0" w:type="auto"/>
            <w:hideMark/>
          </w:tcPr>
          <w:p w14:paraId="4F4CFF6D"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0.98049</w:t>
            </w:r>
          </w:p>
        </w:tc>
      </w:tr>
      <w:tr w:rsidR="00BE7C67" w:rsidRPr="00943BE6" w14:paraId="267A6000" w14:textId="77777777" w:rsidTr="00BE7C67">
        <w:trPr>
          <w:jc w:val="center"/>
        </w:trPr>
        <w:tc>
          <w:tcPr>
            <w:tcW w:w="0" w:type="auto"/>
            <w:vMerge/>
            <w:hideMark/>
          </w:tcPr>
          <w:p w14:paraId="24AE3847"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p>
        </w:tc>
        <w:tc>
          <w:tcPr>
            <w:tcW w:w="0" w:type="auto"/>
            <w:hideMark/>
          </w:tcPr>
          <w:p w14:paraId="4AB1C3A6"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Transformer</w:t>
            </w:r>
          </w:p>
        </w:tc>
        <w:tc>
          <w:tcPr>
            <w:tcW w:w="0" w:type="auto"/>
            <w:hideMark/>
          </w:tcPr>
          <w:p w14:paraId="20AB9890"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27.35×10⁶</w:t>
            </w:r>
          </w:p>
        </w:tc>
        <w:tc>
          <w:tcPr>
            <w:tcW w:w="0" w:type="auto"/>
            <w:hideMark/>
          </w:tcPr>
          <w:p w14:paraId="72089D4F"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5,223</w:t>
            </w:r>
          </w:p>
        </w:tc>
        <w:tc>
          <w:tcPr>
            <w:tcW w:w="0" w:type="auto"/>
            <w:hideMark/>
          </w:tcPr>
          <w:p w14:paraId="4F87C71A"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3,892</w:t>
            </w:r>
          </w:p>
        </w:tc>
        <w:tc>
          <w:tcPr>
            <w:tcW w:w="0" w:type="auto"/>
            <w:hideMark/>
          </w:tcPr>
          <w:p w14:paraId="26EDFD66"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4.58</w:t>
            </w:r>
          </w:p>
        </w:tc>
        <w:tc>
          <w:tcPr>
            <w:tcW w:w="0" w:type="auto"/>
            <w:hideMark/>
          </w:tcPr>
          <w:p w14:paraId="131EFA70"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0.97474</w:t>
            </w:r>
          </w:p>
        </w:tc>
      </w:tr>
      <w:tr w:rsidR="00BE7C67" w:rsidRPr="00943BE6" w14:paraId="2FDBAE13" w14:textId="77777777" w:rsidTr="00BE7C67">
        <w:trPr>
          <w:jc w:val="center"/>
        </w:trPr>
        <w:tc>
          <w:tcPr>
            <w:tcW w:w="0" w:type="auto"/>
            <w:vMerge/>
            <w:hideMark/>
          </w:tcPr>
          <w:p w14:paraId="3FC19427"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p>
        </w:tc>
        <w:tc>
          <w:tcPr>
            <w:tcW w:w="0" w:type="auto"/>
            <w:hideMark/>
          </w:tcPr>
          <w:p w14:paraId="005D5FD5" w14:textId="77777777" w:rsidR="00BE7C67" w:rsidRPr="00943BE6" w:rsidRDefault="00BE7C67" w:rsidP="00BE7C67">
            <w:pPr>
              <w:overflowPunct/>
              <w:autoSpaceDE/>
              <w:autoSpaceDN/>
              <w:adjustRightInd/>
              <w:spacing w:line="240" w:lineRule="auto"/>
              <w:ind w:firstLine="0"/>
              <w:jc w:val="left"/>
              <w:textAlignment w:val="auto"/>
              <w:rPr>
                <w:rFonts w:ascii="Palatino Linotype" w:hAnsi="Palatino Linotype"/>
                <w:sz w:val="18"/>
                <w:szCs w:val="18"/>
              </w:rPr>
            </w:pPr>
            <w:r w:rsidRPr="00943BE6">
              <w:rPr>
                <w:rFonts w:ascii="Palatino Linotype" w:hAnsi="Palatino Linotype"/>
                <w:sz w:val="18"/>
                <w:szCs w:val="18"/>
              </w:rPr>
              <w:t>1D-CNN</w:t>
            </w:r>
          </w:p>
        </w:tc>
        <w:tc>
          <w:tcPr>
            <w:tcW w:w="0" w:type="auto"/>
            <w:hideMark/>
          </w:tcPr>
          <w:p w14:paraId="193222AE"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23.62×10⁶</w:t>
            </w:r>
          </w:p>
        </w:tc>
        <w:tc>
          <w:tcPr>
            <w:tcW w:w="0" w:type="auto"/>
            <w:hideMark/>
          </w:tcPr>
          <w:p w14:paraId="33693ECF"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4,859</w:t>
            </w:r>
          </w:p>
        </w:tc>
        <w:tc>
          <w:tcPr>
            <w:tcW w:w="0" w:type="auto"/>
            <w:hideMark/>
          </w:tcPr>
          <w:p w14:paraId="679B6BFC"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3,490</w:t>
            </w:r>
          </w:p>
        </w:tc>
        <w:tc>
          <w:tcPr>
            <w:tcW w:w="0" w:type="auto"/>
            <w:hideMark/>
          </w:tcPr>
          <w:p w14:paraId="508A9E54"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4.10</w:t>
            </w:r>
          </w:p>
        </w:tc>
        <w:tc>
          <w:tcPr>
            <w:tcW w:w="0" w:type="auto"/>
            <w:hideMark/>
          </w:tcPr>
          <w:p w14:paraId="70E8D90D" w14:textId="77777777" w:rsidR="00BE7C67" w:rsidRPr="00943BE6" w:rsidRDefault="00BE7C67" w:rsidP="00BE7C67">
            <w:pPr>
              <w:overflowPunct/>
              <w:autoSpaceDE/>
              <w:autoSpaceDN/>
              <w:adjustRightInd/>
              <w:spacing w:line="240" w:lineRule="auto"/>
              <w:ind w:firstLine="0"/>
              <w:jc w:val="right"/>
              <w:textAlignment w:val="auto"/>
              <w:rPr>
                <w:rFonts w:ascii="Palatino Linotype" w:hAnsi="Palatino Linotype"/>
                <w:sz w:val="18"/>
                <w:szCs w:val="18"/>
              </w:rPr>
            </w:pPr>
            <w:r w:rsidRPr="00943BE6">
              <w:rPr>
                <w:rFonts w:ascii="Palatino Linotype" w:hAnsi="Palatino Linotype"/>
                <w:sz w:val="18"/>
                <w:szCs w:val="18"/>
              </w:rPr>
              <w:t>0.97814</w:t>
            </w:r>
          </w:p>
        </w:tc>
      </w:tr>
    </w:tbl>
    <w:p w14:paraId="173F6FD5" w14:textId="2A57E3B7" w:rsidR="003B2C30" w:rsidRPr="00943BE6" w:rsidRDefault="003B2C30" w:rsidP="001C7C89">
      <w:pPr>
        <w:spacing w:before="120" w:after="120" w:line="360" w:lineRule="auto"/>
        <w:ind w:firstLine="720"/>
        <w:rPr>
          <w:rFonts w:ascii="Palatino Linotype" w:hAnsi="Palatino Linotype"/>
        </w:rPr>
      </w:pPr>
      <w:r w:rsidRPr="00943BE6">
        <w:rPr>
          <w:rFonts w:ascii="Palatino Linotype" w:hAnsi="Palatino Linotype"/>
        </w:rPr>
        <w:t xml:space="preserve">Specifically, under </w:t>
      </w:r>
      <w:r w:rsidR="00227B56" w:rsidRPr="00943BE6">
        <w:rPr>
          <w:rFonts w:ascii="Palatino Linotype" w:hAnsi="Palatino Linotype"/>
        </w:rPr>
        <w:t>the first configuration</w:t>
      </w:r>
      <w:r w:rsidRPr="00943BE6">
        <w:rPr>
          <w:rFonts w:ascii="Palatino Linotype" w:hAnsi="Palatino Linotype"/>
        </w:rPr>
        <w:t xml:space="preserve"> (10 input steps, 3 output steps), GRU achieved the lowest prediction error </w:t>
      </w:r>
      <w:r w:rsidR="00EC1FB8" w:rsidRPr="00943BE6">
        <w:rPr>
          <w:rFonts w:ascii="Palatino Linotype" w:hAnsi="Palatino Linotype"/>
        </w:rPr>
        <w:t>with MSE = 9.70 × 10⁶ USD², RMSE = 3,117 USD, MAE = 2,117 USD, and MAPE = 2.49%</w:t>
      </w:r>
      <w:r w:rsidRPr="00943BE6">
        <w:rPr>
          <w:rFonts w:ascii="Palatino Linotype" w:hAnsi="Palatino Linotype"/>
        </w:rPr>
        <w:t xml:space="preserve">, </w:t>
      </w:r>
      <w:r w:rsidR="00EC1FB8" w:rsidRPr="00943BE6">
        <w:rPr>
          <w:rFonts w:ascii="Palatino Linotype" w:hAnsi="Palatino Linotype"/>
        </w:rPr>
        <w:t>while also attaining the highest coefficient of determination (R² = 0.99114). These results outperform not only recurrent architectures such as LSTM (RMSE = 3,228 USD) and Bi-LSTM (RMSE = 3,387 USD) but also more complex models including Transformer (RMSE = 3,706 USD) and 1D-CNN (RMSE = 3,569 USD). The low MAPE value further indicates that GRU predictions deviate from actual Bitcoin prices by only about 2.5% on average, highlighting its practical forecasting reliability.</w:t>
      </w:r>
    </w:p>
    <w:p w14:paraId="77B1E94F" w14:textId="6D1712C7" w:rsidR="003B2C30" w:rsidRPr="00943BE6" w:rsidRDefault="00BD7D06" w:rsidP="001C7C89">
      <w:pPr>
        <w:spacing w:before="120" w:after="120" w:line="360" w:lineRule="auto"/>
        <w:ind w:firstLine="720"/>
        <w:rPr>
          <w:rFonts w:ascii="Palatino Linotype" w:hAnsi="Palatino Linotype"/>
        </w:rPr>
      </w:pPr>
      <w:r w:rsidRPr="00943BE6">
        <w:rPr>
          <w:rFonts w:ascii="Palatino Linotype" w:hAnsi="Palatino Linotype"/>
        </w:rPr>
        <w:t>As the input-output window expanded in the second configuration (15, 5), GRU continued to maintain its leading position with MSE = 14.17 × 10⁶ USD², RMSE = 3,767 USD, MAE = 2,607 USD, MAPE = 3.06%, and R² = 0.98699. Although the performance gap between GRU and LSTM became smaller in this setting, GRU still yielded the lowest overall error measures. In contrast, Transformer and 1D-CNN exhibited substantially larger forecasting errors, reaching RMSE values of 4,587 USD and 4,847 USD, respectively, with corresponding MAPE values of 3.92% and 3.98%. These findings demonstrate the robustness of GRU in handling increased temporal dependencies while preserving numerical stability and generalization capability</w:t>
      </w:r>
      <w:r w:rsidR="003B2C30" w:rsidRPr="00943BE6">
        <w:rPr>
          <w:rFonts w:ascii="Palatino Linotype" w:hAnsi="Palatino Linotype"/>
        </w:rPr>
        <w:t>.</w:t>
      </w:r>
    </w:p>
    <w:p w14:paraId="520A5E6C" w14:textId="18EFE8A9" w:rsidR="00DA130A" w:rsidRPr="00943BE6" w:rsidRDefault="00BD7D06" w:rsidP="003E2820">
      <w:pPr>
        <w:spacing w:before="120" w:after="120" w:line="360" w:lineRule="auto"/>
        <w:ind w:firstLine="720"/>
        <w:rPr>
          <w:rFonts w:ascii="Palatino Linotype" w:hAnsi="Palatino Linotype"/>
        </w:rPr>
      </w:pPr>
      <w:r w:rsidRPr="00943BE6">
        <w:rPr>
          <w:rFonts w:ascii="Palatino Linotype" w:hAnsi="Palatino Linotype"/>
        </w:rPr>
        <w:t xml:space="preserve">In the third configuration (21, 7), which represents the longest forecasting horizon considered in this study, GRU once again achieved the best overall performance with MSE = 17.90 × 10⁶ USD², RMSE = 4,227 USD, MAE = 2,917 USD, MAPE = 3.43%, and R² = 0.98346. This result is particularly noteworthy given the widespread assumption in the literature that Transformer-based architectures are better suited for modeling long-range dependencies. Contrary to this expectation, Transformer delivered the weakest results under this configuration, yielding MSE = 27.35 × 10⁶ USD², RMSE = 5,223 USD, MAE = 3,892 USD, </w:t>
      </w:r>
      <w:r w:rsidRPr="00943BE6">
        <w:rPr>
          <w:rFonts w:ascii="Palatino Linotype" w:hAnsi="Palatino Linotype"/>
        </w:rPr>
        <w:lastRenderedPageBreak/>
        <w:t>MAPE = 4.58%, and R² = 0.97474. The substantially higher percentage error indicates that Transformer struggled to capture the highly nonlinear and chaotic dynamics of Bitcoin prices within short lookback windows.</w:t>
      </w:r>
    </w:p>
    <w:p w14:paraId="46BD5923" w14:textId="52350A3A" w:rsidR="00BD7D06" w:rsidRPr="00943BE6" w:rsidRDefault="00BD7D06" w:rsidP="00BD7D06">
      <w:pPr>
        <w:spacing w:before="120" w:after="120" w:line="360" w:lineRule="auto"/>
        <w:ind w:firstLine="720"/>
        <w:rPr>
          <w:rFonts w:ascii="Palatino Linotype" w:hAnsi="Palatino Linotype"/>
        </w:rPr>
      </w:pPr>
      <w:r w:rsidRPr="00943BE6">
        <w:rPr>
          <w:rFonts w:ascii="Palatino Linotype" w:hAnsi="Palatino Linotype"/>
        </w:rPr>
        <w:t xml:space="preserve">The superior performance of the GRU model can be attributed to its architectural design. As described in Section </w:t>
      </w:r>
      <w:r w:rsidRPr="00943BE6">
        <w:rPr>
          <w:rFonts w:ascii="Palatino Linotype" w:hAnsi="Palatino Linotype"/>
        </w:rPr>
        <w:fldChar w:fldCharType="begin"/>
      </w:r>
      <w:r w:rsidRPr="00943BE6">
        <w:rPr>
          <w:rFonts w:ascii="Palatino Linotype" w:hAnsi="Palatino Linotype"/>
        </w:rPr>
        <w:instrText xml:space="preserve"> REF _Ref232256023 \r \h </w:instrText>
      </w:r>
      <w:r w:rsidR="00B42895" w:rsidRPr="00943BE6">
        <w:rPr>
          <w:rFonts w:ascii="Palatino Linotype" w:hAnsi="Palatino Linotype"/>
        </w:rPr>
        <w:instrText xml:space="preserve"> \* MERGEFORMAT </w:instrText>
      </w:r>
      <w:r w:rsidRPr="00943BE6">
        <w:rPr>
          <w:rFonts w:ascii="Palatino Linotype" w:hAnsi="Palatino Linotype"/>
        </w:rPr>
      </w:r>
      <w:r w:rsidRPr="00943BE6">
        <w:rPr>
          <w:rFonts w:ascii="Palatino Linotype" w:hAnsi="Palatino Linotype"/>
        </w:rPr>
        <w:fldChar w:fldCharType="separate"/>
      </w:r>
      <w:r w:rsidRPr="00943BE6">
        <w:rPr>
          <w:rFonts w:ascii="Palatino Linotype" w:hAnsi="Palatino Linotype"/>
        </w:rPr>
        <w:t>3.2</w:t>
      </w:r>
      <w:r w:rsidRPr="00943BE6">
        <w:rPr>
          <w:rFonts w:ascii="Palatino Linotype" w:hAnsi="Palatino Linotype"/>
        </w:rPr>
        <w:fldChar w:fldCharType="end"/>
      </w:r>
      <w:r w:rsidRPr="00943BE6">
        <w:rPr>
          <w:rFonts w:ascii="Palatino Linotype" w:hAnsi="Palatino Linotype"/>
        </w:rPr>
        <w:t>, GRU employs a compact gating mechanism consisting of update and reset gates. Compared with the three-gate structure of LSTM, this design reduces the number of trainable parameters, thereby lowering the risk of overfitting on highly volatile Bitcoin price data. Specifically, the reset gate (r</w:t>
      </w:r>
      <w:r w:rsidRPr="00943BE6">
        <w:rPr>
          <w:rFonts w:ascii="Palatino Linotype" w:hAnsi="Palatino Linotype"/>
          <w:vertAlign w:val="subscript"/>
        </w:rPr>
        <w:t>t</w:t>
      </w:r>
      <w:r w:rsidRPr="00943BE6">
        <w:rPr>
          <w:rFonts w:ascii="Palatino Linotype" w:hAnsi="Palatino Linotype"/>
        </w:rPr>
        <w:t>) regulates the influence of previous hidden states on candidate representations, enabling the model to adapt more effectively to abrupt market fluctuations, whereas the update gate (z</w:t>
      </w:r>
      <w:r w:rsidRPr="00943BE6">
        <w:rPr>
          <w:rFonts w:ascii="Palatino Linotype" w:hAnsi="Palatino Linotype"/>
          <w:vertAlign w:val="subscript"/>
        </w:rPr>
        <w:t>t</w:t>
      </w:r>
      <w:r w:rsidRPr="00943BE6">
        <w:rPr>
          <w:rFonts w:ascii="Palatino Linotype" w:hAnsi="Palatino Linotype"/>
        </w:rPr>
        <w:t>) controls the integration of historical and newly observed information. Furthermore, the relatively short lookback windows considered in this study (10–21 days) may not fully exploit the self-attention capability of Transformer models, which generally benefit from substantially longer contexts. Consequently, the simpler yet more efficient gating mechanism of GRU proves more suitable for short-term Bitcoin forecasting tasks.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476"/>
      </w:tblGrid>
      <w:tr w:rsidR="00DA130A" w:rsidRPr="00943BE6" w14:paraId="4E81A502" w14:textId="77777777" w:rsidTr="00227B56">
        <w:tc>
          <w:tcPr>
            <w:tcW w:w="4517" w:type="dxa"/>
          </w:tcPr>
          <w:p w14:paraId="4C8FF42C" w14:textId="77777777" w:rsidR="00AB6D38" w:rsidRPr="00943BE6" w:rsidRDefault="00DA130A" w:rsidP="00AB6D38">
            <w:pPr>
              <w:pStyle w:val="ListBullet"/>
              <w:keepNext/>
              <w:numPr>
                <w:ilvl w:val="0"/>
                <w:numId w:val="0"/>
              </w:numPr>
              <w:spacing w:after="0" w:line="360" w:lineRule="auto"/>
              <w:jc w:val="both"/>
            </w:pPr>
            <w:r w:rsidRPr="00943BE6">
              <w:rPr>
                <w:rFonts w:ascii="Palatino Linotype" w:hAnsi="Palatino Linotype" w:cs="Times New Roman"/>
                <w:noProof/>
                <w:sz w:val="20"/>
                <w:szCs w:val="20"/>
              </w:rPr>
              <w:drawing>
                <wp:inline distT="0" distB="0" distL="0" distR="0" wp14:anchorId="5EA42008" wp14:editId="21782736">
                  <wp:extent cx="2649982" cy="1389707"/>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a:stretch>
                            <a:fillRect/>
                          </a:stretch>
                        </pic:blipFill>
                        <pic:spPr>
                          <a:xfrm>
                            <a:off x="0" y="0"/>
                            <a:ext cx="2668712" cy="1399529"/>
                          </a:xfrm>
                          <a:prstGeom prst="rect">
                            <a:avLst/>
                          </a:prstGeom>
                        </pic:spPr>
                      </pic:pic>
                    </a:graphicData>
                  </a:graphic>
                </wp:inline>
              </w:drawing>
            </w:r>
          </w:p>
          <w:p w14:paraId="05BBD7DA" w14:textId="41B340FD" w:rsidR="00FD7256" w:rsidRPr="00943BE6" w:rsidRDefault="00AB6D38" w:rsidP="00C929C2">
            <w:pPr>
              <w:pStyle w:val="Caption"/>
              <w:jc w:val="both"/>
              <w:rPr>
                <w:i w:val="0"/>
                <w:iCs/>
                <w:sz w:val="18"/>
              </w:rPr>
            </w:pPr>
            <w:bookmarkStart w:id="17" w:name="_Ref205303098"/>
            <w:r w:rsidRPr="00943BE6">
              <w:rPr>
                <w:b/>
                <w:bCs w:val="0"/>
                <w:i w:val="0"/>
                <w:iCs/>
                <w:sz w:val="18"/>
              </w:rPr>
              <w:t>Fig</w:t>
            </w:r>
            <w:r w:rsidR="0093262F" w:rsidRPr="00943BE6">
              <w:rPr>
                <w:b/>
                <w:bCs w:val="0"/>
                <w:i w:val="0"/>
                <w:iCs/>
                <w:sz w:val="18"/>
              </w:rPr>
              <w:t>.</w:t>
            </w:r>
            <w:r w:rsidRPr="00943BE6">
              <w:rPr>
                <w:b/>
                <w:bCs w:val="0"/>
                <w:i w:val="0"/>
                <w:iCs/>
                <w:sz w:val="18"/>
              </w:rPr>
              <w:t xml:space="preserve"> </w:t>
            </w:r>
            <w:r w:rsidRPr="00943BE6">
              <w:rPr>
                <w:b/>
                <w:bCs w:val="0"/>
                <w:i w:val="0"/>
                <w:iCs/>
                <w:sz w:val="18"/>
              </w:rPr>
              <w:fldChar w:fldCharType="begin"/>
            </w:r>
            <w:r w:rsidRPr="00943BE6">
              <w:rPr>
                <w:b/>
                <w:bCs w:val="0"/>
                <w:i w:val="0"/>
                <w:iCs/>
                <w:sz w:val="18"/>
              </w:rPr>
              <w:instrText xml:space="preserve"> SEQ Figure \* ARABIC </w:instrText>
            </w:r>
            <w:r w:rsidRPr="00943BE6">
              <w:rPr>
                <w:b/>
                <w:bCs w:val="0"/>
                <w:i w:val="0"/>
                <w:iCs/>
                <w:sz w:val="18"/>
              </w:rPr>
              <w:fldChar w:fldCharType="separate"/>
            </w:r>
            <w:r w:rsidR="0085441D" w:rsidRPr="00943BE6">
              <w:rPr>
                <w:b/>
                <w:bCs w:val="0"/>
                <w:i w:val="0"/>
                <w:iCs/>
                <w:noProof/>
                <w:sz w:val="18"/>
              </w:rPr>
              <w:t>2</w:t>
            </w:r>
            <w:r w:rsidRPr="00943BE6">
              <w:rPr>
                <w:b/>
                <w:bCs w:val="0"/>
                <w:i w:val="0"/>
                <w:iCs/>
                <w:sz w:val="18"/>
              </w:rPr>
              <w:fldChar w:fldCharType="end"/>
            </w:r>
            <w:bookmarkEnd w:id="17"/>
            <w:r w:rsidRPr="00943BE6">
              <w:rPr>
                <w:b/>
                <w:bCs w:val="0"/>
                <w:i w:val="0"/>
                <w:iCs/>
                <w:sz w:val="18"/>
              </w:rPr>
              <w:t>.</w:t>
            </w:r>
            <w:r w:rsidRPr="00943BE6">
              <w:rPr>
                <w:i w:val="0"/>
                <w:iCs/>
                <w:sz w:val="18"/>
              </w:rPr>
              <w:t xml:space="preserve"> Comparison between actual and predicted Bitcoin closing prices across deep learning models under Configuration 1</w:t>
            </w:r>
          </w:p>
        </w:tc>
        <w:tc>
          <w:tcPr>
            <w:tcW w:w="4476" w:type="dxa"/>
          </w:tcPr>
          <w:p w14:paraId="60BAD1C2" w14:textId="77777777" w:rsidR="0093262F" w:rsidRPr="00943BE6" w:rsidRDefault="00DA130A" w:rsidP="0093262F">
            <w:pPr>
              <w:pStyle w:val="ListBullet"/>
              <w:keepNext/>
              <w:numPr>
                <w:ilvl w:val="0"/>
                <w:numId w:val="0"/>
              </w:numPr>
              <w:spacing w:after="0" w:line="360" w:lineRule="auto"/>
              <w:jc w:val="both"/>
            </w:pPr>
            <w:r w:rsidRPr="00943BE6">
              <w:rPr>
                <w:rFonts w:ascii="Palatino Linotype" w:hAnsi="Palatino Linotype" w:cs="Times New Roman"/>
                <w:noProof/>
                <w:sz w:val="20"/>
                <w:szCs w:val="20"/>
              </w:rPr>
              <w:drawing>
                <wp:inline distT="0" distB="0" distL="0" distR="0" wp14:anchorId="6154D85D" wp14:editId="19D3162A">
                  <wp:extent cx="2701197" cy="13716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a:stretch>
                            <a:fillRect/>
                          </a:stretch>
                        </pic:blipFill>
                        <pic:spPr>
                          <a:xfrm>
                            <a:off x="0" y="0"/>
                            <a:ext cx="2742468" cy="1392557"/>
                          </a:xfrm>
                          <a:prstGeom prst="rect">
                            <a:avLst/>
                          </a:prstGeom>
                        </pic:spPr>
                      </pic:pic>
                    </a:graphicData>
                  </a:graphic>
                </wp:inline>
              </w:drawing>
            </w:r>
          </w:p>
          <w:p w14:paraId="12547E65" w14:textId="25CCD85B" w:rsidR="00DA130A" w:rsidRPr="00943BE6" w:rsidRDefault="0093262F" w:rsidP="00C929C2">
            <w:pPr>
              <w:pStyle w:val="Caption"/>
              <w:jc w:val="both"/>
              <w:rPr>
                <w:b/>
                <w:bCs w:val="0"/>
                <w:i w:val="0"/>
                <w:iCs/>
                <w:sz w:val="18"/>
              </w:rPr>
            </w:pPr>
            <w:bookmarkStart w:id="18" w:name="_Ref205303141"/>
            <w:r w:rsidRPr="00943BE6">
              <w:rPr>
                <w:b/>
                <w:bCs w:val="0"/>
                <w:i w:val="0"/>
                <w:iCs/>
                <w:sz w:val="18"/>
              </w:rPr>
              <w:t xml:space="preserve">Fig. </w:t>
            </w:r>
            <w:r w:rsidRPr="00943BE6">
              <w:rPr>
                <w:b/>
                <w:bCs w:val="0"/>
                <w:i w:val="0"/>
                <w:iCs/>
                <w:sz w:val="18"/>
              </w:rPr>
              <w:fldChar w:fldCharType="begin"/>
            </w:r>
            <w:r w:rsidRPr="00943BE6">
              <w:rPr>
                <w:b/>
                <w:bCs w:val="0"/>
                <w:i w:val="0"/>
                <w:iCs/>
                <w:sz w:val="18"/>
              </w:rPr>
              <w:instrText xml:space="preserve"> SEQ Figure \* ARABIC </w:instrText>
            </w:r>
            <w:r w:rsidRPr="00943BE6">
              <w:rPr>
                <w:b/>
                <w:bCs w:val="0"/>
                <w:i w:val="0"/>
                <w:iCs/>
                <w:sz w:val="18"/>
              </w:rPr>
              <w:fldChar w:fldCharType="separate"/>
            </w:r>
            <w:r w:rsidR="0085441D" w:rsidRPr="00943BE6">
              <w:rPr>
                <w:b/>
                <w:bCs w:val="0"/>
                <w:i w:val="0"/>
                <w:iCs/>
                <w:noProof/>
                <w:sz w:val="18"/>
              </w:rPr>
              <w:t>3</w:t>
            </w:r>
            <w:r w:rsidRPr="00943BE6">
              <w:rPr>
                <w:b/>
                <w:bCs w:val="0"/>
                <w:i w:val="0"/>
                <w:iCs/>
                <w:sz w:val="18"/>
              </w:rPr>
              <w:fldChar w:fldCharType="end"/>
            </w:r>
            <w:bookmarkEnd w:id="18"/>
            <w:r w:rsidRPr="00943BE6">
              <w:rPr>
                <w:b/>
                <w:bCs w:val="0"/>
                <w:i w:val="0"/>
                <w:iCs/>
                <w:sz w:val="18"/>
              </w:rPr>
              <w:t xml:space="preserve">. </w:t>
            </w:r>
            <w:r w:rsidRPr="00943BE6">
              <w:rPr>
                <w:i w:val="0"/>
                <w:iCs/>
                <w:sz w:val="18"/>
              </w:rPr>
              <w:t>Detailed visualization of the 3-day final forecasts by deep learning models compared to actual Bitcoin prices</w:t>
            </w:r>
          </w:p>
        </w:tc>
      </w:tr>
    </w:tbl>
    <w:p w14:paraId="787E71EF" w14:textId="2437D52C" w:rsidR="00DA130A" w:rsidRPr="00943BE6" w:rsidRDefault="00DA130A" w:rsidP="00227B56">
      <w:pPr>
        <w:tabs>
          <w:tab w:val="left" w:pos="912"/>
        </w:tabs>
        <w:spacing w:before="120" w:after="120" w:line="360" w:lineRule="auto"/>
        <w:ind w:firstLine="0"/>
        <w:rPr>
          <w:rFonts w:ascii="Palatino Linotype" w:hAnsi="Palatino Linotyp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456"/>
      </w:tblGrid>
      <w:tr w:rsidR="00DA130A" w:rsidRPr="00943BE6" w14:paraId="13AEEC60" w14:textId="77777777" w:rsidTr="00227B56">
        <w:tc>
          <w:tcPr>
            <w:tcW w:w="4477" w:type="dxa"/>
          </w:tcPr>
          <w:p w14:paraId="35894A3D" w14:textId="77777777" w:rsidR="001643EE" w:rsidRPr="00943BE6" w:rsidRDefault="00DA130A" w:rsidP="0017143B">
            <w:pPr>
              <w:pStyle w:val="ListBullet"/>
              <w:keepNext/>
              <w:numPr>
                <w:ilvl w:val="0"/>
                <w:numId w:val="0"/>
              </w:numPr>
              <w:spacing w:after="0" w:line="360" w:lineRule="auto"/>
              <w:jc w:val="both"/>
              <w:rPr>
                <w:rFonts w:ascii="Palatino Linotype" w:hAnsi="Palatino Linotype" w:cs="Times New Roman"/>
                <w:sz w:val="20"/>
                <w:szCs w:val="20"/>
              </w:rPr>
            </w:pPr>
            <w:r w:rsidRPr="00943BE6">
              <w:rPr>
                <w:rFonts w:ascii="Palatino Linotype" w:hAnsi="Palatino Linotype" w:cs="Times New Roman"/>
                <w:noProof/>
                <w:sz w:val="20"/>
                <w:szCs w:val="20"/>
              </w:rPr>
              <w:drawing>
                <wp:inline distT="0" distB="0" distL="0" distR="0" wp14:anchorId="38AEC889" wp14:editId="24500950">
                  <wp:extent cx="2706201" cy="14191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1"/>
                          <a:stretch>
                            <a:fillRect/>
                          </a:stretch>
                        </pic:blipFill>
                        <pic:spPr>
                          <a:xfrm>
                            <a:off x="0" y="0"/>
                            <a:ext cx="2728902" cy="1431094"/>
                          </a:xfrm>
                          <a:prstGeom prst="rect">
                            <a:avLst/>
                          </a:prstGeom>
                        </pic:spPr>
                      </pic:pic>
                    </a:graphicData>
                  </a:graphic>
                </wp:inline>
              </w:drawing>
            </w:r>
          </w:p>
          <w:p w14:paraId="0218D553" w14:textId="4657988E" w:rsidR="00DA130A" w:rsidRPr="00943BE6" w:rsidRDefault="001643EE" w:rsidP="0017143B">
            <w:pPr>
              <w:pStyle w:val="Caption"/>
              <w:spacing w:line="360" w:lineRule="auto"/>
              <w:jc w:val="both"/>
              <w:rPr>
                <w:i w:val="0"/>
                <w:iCs/>
                <w:sz w:val="20"/>
                <w:szCs w:val="20"/>
              </w:rPr>
            </w:pPr>
            <w:bookmarkStart w:id="19" w:name="_Ref203053797"/>
            <w:r w:rsidRPr="00943BE6">
              <w:rPr>
                <w:b/>
                <w:bCs w:val="0"/>
                <w:i w:val="0"/>
                <w:iCs/>
                <w:sz w:val="18"/>
              </w:rPr>
              <w:t>Fig</w:t>
            </w:r>
            <w:r w:rsidR="001C7C89" w:rsidRPr="00943BE6">
              <w:rPr>
                <w:b/>
                <w:bCs w:val="0"/>
                <w:i w:val="0"/>
                <w:iCs/>
                <w:sz w:val="18"/>
              </w:rPr>
              <w:t xml:space="preserve">. </w:t>
            </w:r>
            <w:r w:rsidR="00AB6D38" w:rsidRPr="00943BE6">
              <w:rPr>
                <w:b/>
                <w:bCs w:val="0"/>
                <w:i w:val="0"/>
                <w:iCs/>
                <w:sz w:val="18"/>
              </w:rPr>
              <w:fldChar w:fldCharType="begin"/>
            </w:r>
            <w:r w:rsidR="00AB6D38" w:rsidRPr="00943BE6">
              <w:rPr>
                <w:b/>
                <w:bCs w:val="0"/>
                <w:i w:val="0"/>
                <w:iCs/>
                <w:sz w:val="18"/>
              </w:rPr>
              <w:instrText xml:space="preserve"> SEQ Figure \* ARABIC </w:instrText>
            </w:r>
            <w:r w:rsidR="00AB6D38" w:rsidRPr="00943BE6">
              <w:rPr>
                <w:b/>
                <w:bCs w:val="0"/>
                <w:i w:val="0"/>
                <w:iCs/>
                <w:sz w:val="18"/>
              </w:rPr>
              <w:fldChar w:fldCharType="separate"/>
            </w:r>
            <w:r w:rsidR="0085441D" w:rsidRPr="00943BE6">
              <w:rPr>
                <w:b/>
                <w:bCs w:val="0"/>
                <w:i w:val="0"/>
                <w:iCs/>
                <w:noProof/>
                <w:sz w:val="18"/>
              </w:rPr>
              <w:t>4</w:t>
            </w:r>
            <w:r w:rsidR="00AB6D38" w:rsidRPr="00943BE6">
              <w:rPr>
                <w:b/>
                <w:bCs w:val="0"/>
                <w:i w:val="0"/>
                <w:iCs/>
                <w:sz w:val="18"/>
              </w:rPr>
              <w:fldChar w:fldCharType="end"/>
            </w:r>
            <w:bookmarkEnd w:id="19"/>
            <w:r w:rsidRPr="00943BE6">
              <w:rPr>
                <w:b/>
                <w:bCs w:val="0"/>
                <w:i w:val="0"/>
                <w:iCs/>
                <w:sz w:val="18"/>
              </w:rPr>
              <w:t>.</w:t>
            </w:r>
            <w:r w:rsidRPr="00943BE6">
              <w:rPr>
                <w:i w:val="0"/>
                <w:iCs/>
                <w:sz w:val="18"/>
              </w:rPr>
              <w:t xml:space="preserve"> Comparison between actual and predicted Bitcoin closing prices across deep learning models under Configuration 2</w:t>
            </w:r>
          </w:p>
        </w:tc>
        <w:tc>
          <w:tcPr>
            <w:tcW w:w="4456" w:type="dxa"/>
          </w:tcPr>
          <w:p w14:paraId="37E52151" w14:textId="77777777" w:rsidR="001643EE" w:rsidRPr="00943BE6" w:rsidRDefault="00DA130A" w:rsidP="0017143B">
            <w:pPr>
              <w:pStyle w:val="ListBullet"/>
              <w:keepNext/>
              <w:numPr>
                <w:ilvl w:val="0"/>
                <w:numId w:val="0"/>
              </w:numPr>
              <w:spacing w:after="0" w:line="360" w:lineRule="auto"/>
              <w:jc w:val="both"/>
              <w:rPr>
                <w:rFonts w:ascii="Palatino Linotype" w:hAnsi="Palatino Linotype" w:cs="Times New Roman"/>
                <w:sz w:val="20"/>
                <w:szCs w:val="20"/>
              </w:rPr>
            </w:pPr>
            <w:r w:rsidRPr="00943BE6">
              <w:rPr>
                <w:rFonts w:ascii="Palatino Linotype" w:hAnsi="Palatino Linotype" w:cs="Times New Roman"/>
                <w:noProof/>
                <w:sz w:val="20"/>
                <w:szCs w:val="20"/>
              </w:rPr>
              <w:drawing>
                <wp:inline distT="0" distB="0" distL="0" distR="0" wp14:anchorId="2D81F7DD" wp14:editId="6E0E9CCB">
                  <wp:extent cx="2692717" cy="141118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2"/>
                          <a:stretch>
                            <a:fillRect/>
                          </a:stretch>
                        </pic:blipFill>
                        <pic:spPr>
                          <a:xfrm>
                            <a:off x="0" y="0"/>
                            <a:ext cx="2713887" cy="1422278"/>
                          </a:xfrm>
                          <a:prstGeom prst="rect">
                            <a:avLst/>
                          </a:prstGeom>
                        </pic:spPr>
                      </pic:pic>
                    </a:graphicData>
                  </a:graphic>
                </wp:inline>
              </w:drawing>
            </w:r>
          </w:p>
          <w:p w14:paraId="0DBC8109" w14:textId="4DCC7AAF" w:rsidR="00DA130A" w:rsidRPr="00943BE6" w:rsidRDefault="001643EE" w:rsidP="0017143B">
            <w:pPr>
              <w:pStyle w:val="Caption"/>
              <w:spacing w:line="360" w:lineRule="auto"/>
              <w:jc w:val="both"/>
              <w:rPr>
                <w:i w:val="0"/>
                <w:iCs/>
                <w:sz w:val="20"/>
                <w:szCs w:val="20"/>
              </w:rPr>
            </w:pPr>
            <w:bookmarkStart w:id="20" w:name="_Ref203053858"/>
            <w:r w:rsidRPr="00943BE6">
              <w:rPr>
                <w:b/>
                <w:bCs w:val="0"/>
                <w:i w:val="0"/>
                <w:iCs/>
                <w:sz w:val="18"/>
              </w:rPr>
              <w:t>Fig</w:t>
            </w:r>
            <w:r w:rsidR="001C7C89" w:rsidRPr="00943BE6">
              <w:rPr>
                <w:b/>
                <w:bCs w:val="0"/>
                <w:i w:val="0"/>
                <w:iCs/>
                <w:sz w:val="18"/>
              </w:rPr>
              <w:t xml:space="preserve">. </w:t>
            </w:r>
            <w:r w:rsidR="00AB6D38" w:rsidRPr="00943BE6">
              <w:rPr>
                <w:b/>
                <w:bCs w:val="0"/>
                <w:i w:val="0"/>
                <w:iCs/>
                <w:sz w:val="18"/>
              </w:rPr>
              <w:fldChar w:fldCharType="begin"/>
            </w:r>
            <w:r w:rsidR="00AB6D38" w:rsidRPr="00943BE6">
              <w:rPr>
                <w:b/>
                <w:bCs w:val="0"/>
                <w:i w:val="0"/>
                <w:iCs/>
                <w:sz w:val="18"/>
              </w:rPr>
              <w:instrText xml:space="preserve"> SEQ Figure \* ARABIC </w:instrText>
            </w:r>
            <w:r w:rsidR="00AB6D38" w:rsidRPr="00943BE6">
              <w:rPr>
                <w:b/>
                <w:bCs w:val="0"/>
                <w:i w:val="0"/>
                <w:iCs/>
                <w:sz w:val="18"/>
              </w:rPr>
              <w:fldChar w:fldCharType="separate"/>
            </w:r>
            <w:r w:rsidR="0085441D" w:rsidRPr="00943BE6">
              <w:rPr>
                <w:b/>
                <w:bCs w:val="0"/>
                <w:i w:val="0"/>
                <w:iCs/>
                <w:noProof/>
                <w:sz w:val="18"/>
              </w:rPr>
              <w:t>5</w:t>
            </w:r>
            <w:r w:rsidR="00AB6D38" w:rsidRPr="00943BE6">
              <w:rPr>
                <w:b/>
                <w:bCs w:val="0"/>
                <w:i w:val="0"/>
                <w:iCs/>
                <w:sz w:val="18"/>
              </w:rPr>
              <w:fldChar w:fldCharType="end"/>
            </w:r>
            <w:bookmarkEnd w:id="20"/>
            <w:r w:rsidRPr="00943BE6">
              <w:rPr>
                <w:b/>
                <w:bCs w:val="0"/>
                <w:i w:val="0"/>
                <w:iCs/>
                <w:sz w:val="18"/>
              </w:rPr>
              <w:t>.</w:t>
            </w:r>
            <w:r w:rsidRPr="00943BE6">
              <w:rPr>
                <w:i w:val="0"/>
                <w:iCs/>
                <w:sz w:val="18"/>
              </w:rPr>
              <w:t xml:space="preserve"> </w:t>
            </w:r>
            <w:r w:rsidR="001C7C89" w:rsidRPr="00943BE6">
              <w:rPr>
                <w:i w:val="0"/>
                <w:iCs/>
                <w:sz w:val="18"/>
              </w:rPr>
              <w:t xml:space="preserve"> </w:t>
            </w:r>
            <w:r w:rsidRPr="00943BE6">
              <w:rPr>
                <w:i w:val="0"/>
                <w:iCs/>
                <w:sz w:val="18"/>
              </w:rPr>
              <w:t>Detailed visualization of the 5-day final forecasts by deep learning models compared to actual Bitcoin prices</w:t>
            </w:r>
          </w:p>
        </w:tc>
      </w:tr>
    </w:tbl>
    <w:p w14:paraId="2C247DCF" w14:textId="612F2FE9" w:rsidR="00DA130A" w:rsidRPr="00943BE6" w:rsidRDefault="00DA130A" w:rsidP="00986A79">
      <w:pPr>
        <w:spacing w:before="120" w:after="120" w:line="360" w:lineRule="auto"/>
        <w:ind w:firstLine="0"/>
        <w:rPr>
          <w:rFonts w:ascii="Palatino Linotype" w:hAnsi="Palatino Linotyp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452"/>
      </w:tblGrid>
      <w:tr w:rsidR="00DA130A" w:rsidRPr="00943BE6" w14:paraId="36FDB38C" w14:textId="77777777" w:rsidTr="00227B56">
        <w:tc>
          <w:tcPr>
            <w:tcW w:w="4506" w:type="dxa"/>
          </w:tcPr>
          <w:p w14:paraId="65D09CED" w14:textId="77777777" w:rsidR="001643EE" w:rsidRPr="00943BE6" w:rsidRDefault="00DA130A" w:rsidP="0017143B">
            <w:pPr>
              <w:pStyle w:val="ListBullet"/>
              <w:keepNext/>
              <w:numPr>
                <w:ilvl w:val="0"/>
                <w:numId w:val="0"/>
              </w:numPr>
              <w:spacing w:after="0" w:line="360" w:lineRule="auto"/>
              <w:jc w:val="both"/>
              <w:rPr>
                <w:rFonts w:ascii="Palatino Linotype" w:hAnsi="Palatino Linotype" w:cs="Times New Roman"/>
                <w:sz w:val="20"/>
                <w:szCs w:val="20"/>
              </w:rPr>
            </w:pPr>
            <w:r w:rsidRPr="00943BE6">
              <w:rPr>
                <w:rFonts w:ascii="Palatino Linotype" w:hAnsi="Palatino Linotype" w:cs="Times New Roman"/>
                <w:noProof/>
                <w:sz w:val="20"/>
                <w:szCs w:val="20"/>
              </w:rPr>
              <w:lastRenderedPageBreak/>
              <w:drawing>
                <wp:inline distT="0" distB="0" distL="0" distR="0" wp14:anchorId="3DDDD0C2" wp14:editId="019E8696">
                  <wp:extent cx="2716772" cy="1424733"/>
                  <wp:effectExtent l="0" t="0" r="762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a:stretch>
                            <a:fillRect/>
                          </a:stretch>
                        </pic:blipFill>
                        <pic:spPr>
                          <a:xfrm>
                            <a:off x="0" y="0"/>
                            <a:ext cx="2738997" cy="1436389"/>
                          </a:xfrm>
                          <a:prstGeom prst="rect">
                            <a:avLst/>
                          </a:prstGeom>
                        </pic:spPr>
                      </pic:pic>
                    </a:graphicData>
                  </a:graphic>
                </wp:inline>
              </w:drawing>
            </w:r>
          </w:p>
          <w:p w14:paraId="40AE42FE" w14:textId="482FFCF0" w:rsidR="00DA130A" w:rsidRPr="00943BE6" w:rsidRDefault="001643EE" w:rsidP="0017143B">
            <w:pPr>
              <w:pStyle w:val="Caption"/>
              <w:spacing w:line="360" w:lineRule="auto"/>
              <w:jc w:val="both"/>
              <w:rPr>
                <w:i w:val="0"/>
                <w:iCs/>
                <w:sz w:val="20"/>
                <w:szCs w:val="20"/>
              </w:rPr>
            </w:pPr>
            <w:bookmarkStart w:id="21" w:name="_Ref203053804"/>
            <w:r w:rsidRPr="00943BE6">
              <w:rPr>
                <w:b/>
                <w:bCs w:val="0"/>
                <w:i w:val="0"/>
                <w:iCs/>
                <w:sz w:val="18"/>
              </w:rPr>
              <w:t>Fig</w:t>
            </w:r>
            <w:r w:rsidR="001C7C89" w:rsidRPr="00943BE6">
              <w:rPr>
                <w:b/>
                <w:bCs w:val="0"/>
                <w:i w:val="0"/>
                <w:iCs/>
                <w:sz w:val="18"/>
              </w:rPr>
              <w:t xml:space="preserve">. </w:t>
            </w:r>
            <w:r w:rsidR="00AB6D38" w:rsidRPr="00943BE6">
              <w:rPr>
                <w:b/>
                <w:bCs w:val="0"/>
                <w:i w:val="0"/>
                <w:iCs/>
                <w:sz w:val="18"/>
              </w:rPr>
              <w:fldChar w:fldCharType="begin"/>
            </w:r>
            <w:r w:rsidR="00AB6D38" w:rsidRPr="00943BE6">
              <w:rPr>
                <w:b/>
                <w:bCs w:val="0"/>
                <w:i w:val="0"/>
                <w:iCs/>
                <w:sz w:val="18"/>
              </w:rPr>
              <w:instrText xml:space="preserve"> SEQ Figure \* ARABIC </w:instrText>
            </w:r>
            <w:r w:rsidR="00AB6D38" w:rsidRPr="00943BE6">
              <w:rPr>
                <w:b/>
                <w:bCs w:val="0"/>
                <w:i w:val="0"/>
                <w:iCs/>
                <w:sz w:val="18"/>
              </w:rPr>
              <w:fldChar w:fldCharType="separate"/>
            </w:r>
            <w:r w:rsidR="0085441D" w:rsidRPr="00943BE6">
              <w:rPr>
                <w:b/>
                <w:bCs w:val="0"/>
                <w:i w:val="0"/>
                <w:iCs/>
                <w:noProof/>
                <w:sz w:val="18"/>
              </w:rPr>
              <w:t>6</w:t>
            </w:r>
            <w:r w:rsidR="00AB6D38" w:rsidRPr="00943BE6">
              <w:rPr>
                <w:b/>
                <w:bCs w:val="0"/>
                <w:i w:val="0"/>
                <w:iCs/>
                <w:sz w:val="18"/>
              </w:rPr>
              <w:fldChar w:fldCharType="end"/>
            </w:r>
            <w:bookmarkEnd w:id="21"/>
            <w:r w:rsidRPr="00943BE6">
              <w:rPr>
                <w:b/>
                <w:bCs w:val="0"/>
                <w:i w:val="0"/>
                <w:iCs/>
                <w:sz w:val="18"/>
              </w:rPr>
              <w:t>.</w:t>
            </w:r>
            <w:r w:rsidRPr="00943BE6">
              <w:rPr>
                <w:i w:val="0"/>
                <w:iCs/>
                <w:sz w:val="18"/>
              </w:rPr>
              <w:t xml:space="preserve"> Comparison between actual and predicted Bitcoin closing prices across deep learning models under Configuration 3</w:t>
            </w:r>
          </w:p>
        </w:tc>
        <w:tc>
          <w:tcPr>
            <w:tcW w:w="4452" w:type="dxa"/>
          </w:tcPr>
          <w:p w14:paraId="169C7E09" w14:textId="77777777" w:rsidR="001643EE" w:rsidRPr="00943BE6" w:rsidRDefault="00DA130A" w:rsidP="0017143B">
            <w:pPr>
              <w:pStyle w:val="ListBullet"/>
              <w:keepNext/>
              <w:numPr>
                <w:ilvl w:val="0"/>
                <w:numId w:val="0"/>
              </w:numPr>
              <w:spacing w:after="0" w:line="360" w:lineRule="auto"/>
              <w:jc w:val="both"/>
              <w:rPr>
                <w:rFonts w:ascii="Palatino Linotype" w:hAnsi="Palatino Linotype" w:cs="Times New Roman"/>
                <w:sz w:val="20"/>
                <w:szCs w:val="20"/>
              </w:rPr>
            </w:pPr>
            <w:r w:rsidRPr="00943BE6">
              <w:rPr>
                <w:rFonts w:ascii="Palatino Linotype" w:hAnsi="Palatino Linotype" w:cs="Times New Roman"/>
                <w:noProof/>
                <w:sz w:val="20"/>
                <w:szCs w:val="20"/>
              </w:rPr>
              <w:drawing>
                <wp:inline distT="0" distB="0" distL="0" distR="0" wp14:anchorId="399DCF61" wp14:editId="7629A07E">
                  <wp:extent cx="2690344" cy="14099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a:stretch>
                            <a:fillRect/>
                          </a:stretch>
                        </pic:blipFill>
                        <pic:spPr>
                          <a:xfrm>
                            <a:off x="0" y="0"/>
                            <a:ext cx="2720816" cy="1425910"/>
                          </a:xfrm>
                          <a:prstGeom prst="rect">
                            <a:avLst/>
                          </a:prstGeom>
                        </pic:spPr>
                      </pic:pic>
                    </a:graphicData>
                  </a:graphic>
                </wp:inline>
              </w:drawing>
            </w:r>
          </w:p>
          <w:p w14:paraId="784CD7BF" w14:textId="3FF86DDB" w:rsidR="00DA130A" w:rsidRPr="00943BE6" w:rsidRDefault="001643EE" w:rsidP="0017143B">
            <w:pPr>
              <w:pStyle w:val="Caption"/>
              <w:spacing w:line="360" w:lineRule="auto"/>
              <w:jc w:val="both"/>
              <w:rPr>
                <w:i w:val="0"/>
                <w:iCs/>
                <w:sz w:val="20"/>
                <w:szCs w:val="20"/>
              </w:rPr>
            </w:pPr>
            <w:bookmarkStart w:id="22" w:name="_Ref203053709"/>
            <w:r w:rsidRPr="00943BE6">
              <w:rPr>
                <w:b/>
                <w:bCs w:val="0"/>
                <w:i w:val="0"/>
                <w:iCs/>
                <w:sz w:val="18"/>
              </w:rPr>
              <w:t>Fig</w:t>
            </w:r>
            <w:r w:rsidR="001C7C89" w:rsidRPr="00943BE6">
              <w:rPr>
                <w:b/>
                <w:bCs w:val="0"/>
                <w:i w:val="0"/>
                <w:iCs/>
                <w:sz w:val="18"/>
              </w:rPr>
              <w:t xml:space="preserve">. </w:t>
            </w:r>
            <w:r w:rsidR="00AB6D38" w:rsidRPr="00943BE6">
              <w:rPr>
                <w:b/>
                <w:bCs w:val="0"/>
                <w:i w:val="0"/>
                <w:iCs/>
                <w:sz w:val="18"/>
              </w:rPr>
              <w:fldChar w:fldCharType="begin"/>
            </w:r>
            <w:r w:rsidR="00AB6D38" w:rsidRPr="00943BE6">
              <w:rPr>
                <w:b/>
                <w:bCs w:val="0"/>
                <w:i w:val="0"/>
                <w:iCs/>
                <w:sz w:val="18"/>
              </w:rPr>
              <w:instrText xml:space="preserve"> SEQ Figure \* ARABIC </w:instrText>
            </w:r>
            <w:r w:rsidR="00AB6D38" w:rsidRPr="00943BE6">
              <w:rPr>
                <w:b/>
                <w:bCs w:val="0"/>
                <w:i w:val="0"/>
                <w:iCs/>
                <w:sz w:val="18"/>
              </w:rPr>
              <w:fldChar w:fldCharType="separate"/>
            </w:r>
            <w:r w:rsidR="0085441D" w:rsidRPr="00943BE6">
              <w:rPr>
                <w:b/>
                <w:bCs w:val="0"/>
                <w:i w:val="0"/>
                <w:iCs/>
                <w:noProof/>
                <w:sz w:val="18"/>
              </w:rPr>
              <w:t>7</w:t>
            </w:r>
            <w:r w:rsidR="00AB6D38" w:rsidRPr="00943BE6">
              <w:rPr>
                <w:b/>
                <w:bCs w:val="0"/>
                <w:i w:val="0"/>
                <w:iCs/>
                <w:sz w:val="18"/>
              </w:rPr>
              <w:fldChar w:fldCharType="end"/>
            </w:r>
            <w:bookmarkEnd w:id="22"/>
            <w:r w:rsidRPr="00943BE6">
              <w:rPr>
                <w:b/>
                <w:bCs w:val="0"/>
                <w:i w:val="0"/>
                <w:iCs/>
                <w:sz w:val="18"/>
              </w:rPr>
              <w:t>.</w:t>
            </w:r>
            <w:r w:rsidRPr="00943BE6">
              <w:rPr>
                <w:i w:val="0"/>
                <w:iCs/>
                <w:sz w:val="18"/>
              </w:rPr>
              <w:t xml:space="preserve"> Detailed visualization of the 7-day final forecasts by deep learning models compared to actual Bitcoin prices</w:t>
            </w:r>
          </w:p>
        </w:tc>
      </w:tr>
    </w:tbl>
    <w:p w14:paraId="2E2CD74C" w14:textId="4D3EA569" w:rsidR="003B2C30" w:rsidRPr="00943BE6" w:rsidRDefault="003B2C30" w:rsidP="001C7C89">
      <w:pPr>
        <w:spacing w:before="120" w:after="120" w:line="360" w:lineRule="auto"/>
        <w:ind w:firstLine="720"/>
        <w:rPr>
          <w:rFonts w:ascii="Palatino Linotype" w:hAnsi="Palatino Linotype"/>
        </w:rPr>
      </w:pPr>
      <w:r w:rsidRPr="00943BE6">
        <w:rPr>
          <w:rFonts w:ascii="Palatino Linotype" w:hAnsi="Palatino Linotype"/>
        </w:rPr>
        <w:t>Visual comparisons further reinforce these findings. In</w:t>
      </w:r>
      <w:r w:rsidR="002C7C73" w:rsidRPr="00943BE6">
        <w:rPr>
          <w:rFonts w:ascii="Palatino Linotype" w:hAnsi="Palatino Linotype"/>
        </w:rPr>
        <w:t xml:space="preserve"> </w:t>
      </w:r>
      <w:r w:rsidR="004D10C0" w:rsidRPr="00943BE6">
        <w:rPr>
          <w:rFonts w:ascii="Palatino Linotype" w:hAnsi="Palatino Linotype"/>
        </w:rPr>
        <w:fldChar w:fldCharType="begin"/>
      </w:r>
      <w:r w:rsidR="004D10C0" w:rsidRPr="00943BE6">
        <w:rPr>
          <w:rFonts w:ascii="Palatino Linotype" w:hAnsi="Palatino Linotype"/>
        </w:rPr>
        <w:instrText xml:space="preserve"> REF _Ref205303098 \h  \* MERGEFORMAT </w:instrText>
      </w:r>
      <w:r w:rsidR="004D10C0" w:rsidRPr="00943BE6">
        <w:rPr>
          <w:rFonts w:ascii="Palatino Linotype" w:hAnsi="Palatino Linotype"/>
        </w:rPr>
      </w:r>
      <w:r w:rsidR="004D10C0" w:rsidRPr="00943BE6">
        <w:rPr>
          <w:rFonts w:ascii="Palatino Linotype" w:hAnsi="Palatino Linotype"/>
        </w:rPr>
        <w:fldChar w:fldCharType="separate"/>
      </w:r>
      <w:r w:rsidR="0085441D" w:rsidRPr="00943BE6">
        <w:rPr>
          <w:rFonts w:ascii="Palatino Linotype" w:hAnsi="Palatino Linotype"/>
        </w:rPr>
        <w:t>Fig. 2</w:t>
      </w:r>
      <w:r w:rsidR="004D10C0" w:rsidRPr="00943BE6">
        <w:rPr>
          <w:rFonts w:ascii="Palatino Linotype" w:hAnsi="Palatino Linotype"/>
        </w:rPr>
        <w:fldChar w:fldCharType="end"/>
      </w:r>
      <w:r w:rsidR="004D10C0" w:rsidRPr="00943BE6">
        <w:rPr>
          <w:rFonts w:ascii="Palatino Linotype" w:hAnsi="Palatino Linotype"/>
        </w:rPr>
        <w:t xml:space="preserve">, </w:t>
      </w:r>
      <w:r w:rsidR="004D10C0" w:rsidRPr="00943BE6">
        <w:rPr>
          <w:rFonts w:ascii="Palatino Linotype" w:hAnsi="Palatino Linotype"/>
        </w:rPr>
        <w:fldChar w:fldCharType="begin"/>
      </w:r>
      <w:r w:rsidR="004D10C0" w:rsidRPr="00943BE6">
        <w:rPr>
          <w:rFonts w:ascii="Palatino Linotype" w:hAnsi="Palatino Linotype"/>
        </w:rPr>
        <w:instrText xml:space="preserve"> REF _Ref203053797 \h  \* MERGEFORMAT </w:instrText>
      </w:r>
      <w:r w:rsidR="004D10C0" w:rsidRPr="00943BE6">
        <w:rPr>
          <w:rFonts w:ascii="Palatino Linotype" w:hAnsi="Palatino Linotype"/>
        </w:rPr>
      </w:r>
      <w:r w:rsidR="004D10C0" w:rsidRPr="00943BE6">
        <w:rPr>
          <w:rFonts w:ascii="Palatino Linotype" w:hAnsi="Palatino Linotype"/>
        </w:rPr>
        <w:fldChar w:fldCharType="separate"/>
      </w:r>
      <w:r w:rsidR="0085441D" w:rsidRPr="00943BE6">
        <w:rPr>
          <w:rFonts w:ascii="Palatino Linotype" w:hAnsi="Palatino Linotype"/>
        </w:rPr>
        <w:t>Fig. 4</w:t>
      </w:r>
      <w:r w:rsidR="004D10C0" w:rsidRPr="00943BE6">
        <w:rPr>
          <w:rFonts w:ascii="Palatino Linotype" w:hAnsi="Palatino Linotype"/>
        </w:rPr>
        <w:fldChar w:fldCharType="end"/>
      </w:r>
      <w:r w:rsidR="004D10C0" w:rsidRPr="00943BE6">
        <w:rPr>
          <w:rFonts w:ascii="Palatino Linotype" w:hAnsi="Palatino Linotype"/>
        </w:rPr>
        <w:t xml:space="preserve">, and </w:t>
      </w:r>
      <w:r w:rsidR="004D10C0" w:rsidRPr="00943BE6">
        <w:rPr>
          <w:rFonts w:ascii="Palatino Linotype" w:hAnsi="Palatino Linotype"/>
        </w:rPr>
        <w:fldChar w:fldCharType="begin"/>
      </w:r>
      <w:r w:rsidR="004D10C0" w:rsidRPr="00943BE6">
        <w:rPr>
          <w:rFonts w:ascii="Palatino Linotype" w:hAnsi="Palatino Linotype"/>
        </w:rPr>
        <w:instrText xml:space="preserve"> REF _Ref203053804 \h  \* MERGEFORMAT </w:instrText>
      </w:r>
      <w:r w:rsidR="004D10C0" w:rsidRPr="00943BE6">
        <w:rPr>
          <w:rFonts w:ascii="Palatino Linotype" w:hAnsi="Palatino Linotype"/>
        </w:rPr>
      </w:r>
      <w:r w:rsidR="004D10C0" w:rsidRPr="00943BE6">
        <w:rPr>
          <w:rFonts w:ascii="Palatino Linotype" w:hAnsi="Palatino Linotype"/>
        </w:rPr>
        <w:fldChar w:fldCharType="separate"/>
      </w:r>
      <w:r w:rsidR="0085441D" w:rsidRPr="00943BE6">
        <w:rPr>
          <w:rFonts w:ascii="Palatino Linotype" w:hAnsi="Palatino Linotype"/>
        </w:rPr>
        <w:t>Fig. 6</w:t>
      </w:r>
      <w:r w:rsidR="004D10C0" w:rsidRPr="00943BE6">
        <w:rPr>
          <w:rFonts w:ascii="Palatino Linotype" w:hAnsi="Palatino Linotype"/>
        </w:rPr>
        <w:fldChar w:fldCharType="end"/>
      </w:r>
      <w:r w:rsidR="00337DF4" w:rsidRPr="00943BE6">
        <w:rPr>
          <w:rFonts w:ascii="Palatino Linotype" w:hAnsi="Palatino Linotype"/>
        </w:rPr>
        <w:t xml:space="preserve"> </w:t>
      </w:r>
      <w:r w:rsidRPr="00943BE6">
        <w:rPr>
          <w:rFonts w:ascii="Palatino Linotype" w:hAnsi="Palatino Linotype"/>
        </w:rPr>
        <w:t>which depict the full-range forecast trajectories for each model under the three configurations, GRU predictions align more closely with actual Bitcoin closing prices than those of any other architecture. The consistency and smoothness of GRU outputs suggest a strong capacity to internalize temporal patterns without overfitting. Meanwhile, Transformer and 1D-CNN models demonstrate higher volatility in prediction curves, with occasional divergences from true trends.</w:t>
      </w:r>
    </w:p>
    <w:p w14:paraId="47779F16" w14:textId="120D4A5A" w:rsidR="00DA130A" w:rsidRPr="00943BE6" w:rsidRDefault="003B2C30" w:rsidP="00902A93">
      <w:pPr>
        <w:spacing w:before="120" w:after="120" w:line="360" w:lineRule="auto"/>
        <w:ind w:firstLine="720"/>
        <w:rPr>
          <w:rFonts w:ascii="Palatino Linotype" w:hAnsi="Palatino Linotype"/>
        </w:rPr>
      </w:pPr>
      <w:r w:rsidRPr="00943BE6">
        <w:rPr>
          <w:rFonts w:ascii="Palatino Linotype" w:hAnsi="Palatino Linotype"/>
        </w:rPr>
        <w:t xml:space="preserve">Additionally, </w:t>
      </w:r>
      <w:r w:rsidR="00337DF4" w:rsidRPr="00943BE6">
        <w:rPr>
          <w:rFonts w:ascii="Palatino Linotype" w:hAnsi="Palatino Linotype"/>
        </w:rPr>
        <w:fldChar w:fldCharType="begin"/>
      </w:r>
      <w:r w:rsidR="00337DF4" w:rsidRPr="00943BE6">
        <w:rPr>
          <w:rFonts w:ascii="Palatino Linotype" w:hAnsi="Palatino Linotype"/>
        </w:rPr>
        <w:instrText xml:space="preserve"> REF _Ref205303141 \h  \* MERGEFORMAT </w:instrText>
      </w:r>
      <w:r w:rsidR="00337DF4" w:rsidRPr="00943BE6">
        <w:rPr>
          <w:rFonts w:ascii="Palatino Linotype" w:hAnsi="Palatino Linotype"/>
        </w:rPr>
      </w:r>
      <w:r w:rsidR="00337DF4" w:rsidRPr="00943BE6">
        <w:rPr>
          <w:rFonts w:ascii="Palatino Linotype" w:hAnsi="Palatino Linotype"/>
        </w:rPr>
        <w:fldChar w:fldCharType="separate"/>
      </w:r>
      <w:r w:rsidR="0085441D" w:rsidRPr="00943BE6">
        <w:rPr>
          <w:rFonts w:ascii="Palatino Linotype" w:hAnsi="Palatino Linotype"/>
        </w:rPr>
        <w:t>Fig. 3</w:t>
      </w:r>
      <w:r w:rsidR="00337DF4" w:rsidRPr="00943BE6">
        <w:rPr>
          <w:rFonts w:ascii="Palatino Linotype" w:hAnsi="Palatino Linotype"/>
        </w:rPr>
        <w:fldChar w:fldCharType="end"/>
      </w:r>
      <w:r w:rsidR="00337DF4" w:rsidRPr="00943BE6">
        <w:rPr>
          <w:rFonts w:ascii="Palatino Linotype" w:hAnsi="Palatino Linotype"/>
        </w:rPr>
        <w:t xml:space="preserve">, </w:t>
      </w:r>
      <w:r w:rsidR="00337DF4" w:rsidRPr="00943BE6">
        <w:rPr>
          <w:rFonts w:ascii="Palatino Linotype" w:hAnsi="Palatino Linotype"/>
        </w:rPr>
        <w:fldChar w:fldCharType="begin"/>
      </w:r>
      <w:r w:rsidR="00337DF4" w:rsidRPr="00943BE6">
        <w:rPr>
          <w:rFonts w:ascii="Palatino Linotype" w:hAnsi="Palatino Linotype"/>
        </w:rPr>
        <w:instrText xml:space="preserve"> REF _Ref203053858 \h  \* MERGEFORMAT </w:instrText>
      </w:r>
      <w:r w:rsidR="00337DF4" w:rsidRPr="00943BE6">
        <w:rPr>
          <w:rFonts w:ascii="Palatino Linotype" w:hAnsi="Palatino Linotype"/>
        </w:rPr>
      </w:r>
      <w:r w:rsidR="00337DF4" w:rsidRPr="00943BE6">
        <w:rPr>
          <w:rFonts w:ascii="Palatino Linotype" w:hAnsi="Palatino Linotype"/>
        </w:rPr>
        <w:fldChar w:fldCharType="separate"/>
      </w:r>
      <w:r w:rsidR="0085441D" w:rsidRPr="00943BE6">
        <w:rPr>
          <w:rFonts w:ascii="Palatino Linotype" w:hAnsi="Palatino Linotype"/>
        </w:rPr>
        <w:t>Fig. 5</w:t>
      </w:r>
      <w:r w:rsidR="00337DF4" w:rsidRPr="00943BE6">
        <w:rPr>
          <w:rFonts w:ascii="Palatino Linotype" w:hAnsi="Palatino Linotype"/>
        </w:rPr>
        <w:fldChar w:fldCharType="end"/>
      </w:r>
      <w:r w:rsidR="00337DF4" w:rsidRPr="00943BE6">
        <w:rPr>
          <w:rFonts w:ascii="Palatino Linotype" w:hAnsi="Palatino Linotype"/>
        </w:rPr>
        <w:t xml:space="preserve">, and </w:t>
      </w:r>
      <w:r w:rsidR="00337DF4" w:rsidRPr="00943BE6">
        <w:rPr>
          <w:rFonts w:ascii="Palatino Linotype" w:hAnsi="Palatino Linotype"/>
        </w:rPr>
        <w:fldChar w:fldCharType="begin"/>
      </w:r>
      <w:r w:rsidR="00337DF4" w:rsidRPr="00943BE6">
        <w:rPr>
          <w:rFonts w:ascii="Palatino Linotype" w:hAnsi="Palatino Linotype"/>
        </w:rPr>
        <w:instrText xml:space="preserve"> REF _Ref203053709 \h  \* MERGEFORMAT </w:instrText>
      </w:r>
      <w:r w:rsidR="00337DF4" w:rsidRPr="00943BE6">
        <w:rPr>
          <w:rFonts w:ascii="Palatino Linotype" w:hAnsi="Palatino Linotype"/>
        </w:rPr>
      </w:r>
      <w:r w:rsidR="00337DF4" w:rsidRPr="00943BE6">
        <w:rPr>
          <w:rFonts w:ascii="Palatino Linotype" w:hAnsi="Palatino Linotype"/>
        </w:rPr>
        <w:fldChar w:fldCharType="separate"/>
      </w:r>
      <w:r w:rsidR="0085441D" w:rsidRPr="00943BE6">
        <w:rPr>
          <w:rFonts w:ascii="Palatino Linotype" w:hAnsi="Palatino Linotype"/>
        </w:rPr>
        <w:t>Fig. 7</w:t>
      </w:r>
      <w:r w:rsidR="00337DF4" w:rsidRPr="00943BE6">
        <w:rPr>
          <w:rFonts w:ascii="Palatino Linotype" w:hAnsi="Palatino Linotype"/>
        </w:rPr>
        <w:fldChar w:fldCharType="end"/>
      </w:r>
      <w:r w:rsidR="00337DF4" w:rsidRPr="00943BE6">
        <w:rPr>
          <w:rFonts w:ascii="Palatino Linotype" w:hAnsi="Palatino Linotype"/>
        </w:rPr>
        <w:t xml:space="preserve"> </w:t>
      </w:r>
      <w:r w:rsidRPr="00943BE6">
        <w:rPr>
          <w:rFonts w:ascii="Palatino Linotype" w:hAnsi="Palatino Linotype"/>
        </w:rPr>
        <w:t xml:space="preserve">offer a magnified view of the final forecast windows. </w:t>
      </w:r>
      <w:r w:rsidR="008B3CE3" w:rsidRPr="00943BE6">
        <w:rPr>
          <w:rFonts w:ascii="Palatino Linotype" w:hAnsi="Palatino Linotype"/>
        </w:rPr>
        <w:t>In every scenario, the GRU model closely follows the actual price trends, showing strong alignment in both precise values and overall direction. These findings emphasize the GRU’s strength, accuracy, and flexibility across various input-output setups, confirming its effectiveness and efficiency for forecasting cryptocurrency prices over multiple time frames</w:t>
      </w:r>
      <w:r w:rsidR="00BD4CF4" w:rsidRPr="00943BE6">
        <w:rPr>
          <w:rFonts w:ascii="Palatino Linotype" w:hAnsi="Palatino Linotype"/>
        </w:rPr>
        <w:t>.</w:t>
      </w:r>
    </w:p>
    <w:p w14:paraId="37C9C548" w14:textId="77777777" w:rsidR="00BD4CF4" w:rsidRPr="00943BE6" w:rsidRDefault="00BD4CF4" w:rsidP="00BD4CF4">
      <w:pPr>
        <w:spacing w:before="120" w:after="120" w:line="360" w:lineRule="auto"/>
        <w:ind w:firstLine="0"/>
        <w:rPr>
          <w:rFonts w:ascii="Palatino Linotype" w:hAnsi="Palatino Linotyp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416"/>
      </w:tblGrid>
      <w:tr w:rsidR="00DA130A" w:rsidRPr="00943BE6" w14:paraId="0792D298" w14:textId="77777777" w:rsidTr="00B96F26">
        <w:tc>
          <w:tcPr>
            <w:tcW w:w="4541" w:type="dxa"/>
          </w:tcPr>
          <w:p w14:paraId="29CF9251" w14:textId="77777777" w:rsidR="0093262F" w:rsidRPr="00943BE6" w:rsidRDefault="00DA130A" w:rsidP="0093262F">
            <w:pPr>
              <w:pStyle w:val="ListBullet"/>
              <w:keepNext/>
              <w:numPr>
                <w:ilvl w:val="0"/>
                <w:numId w:val="0"/>
              </w:numPr>
              <w:spacing w:after="0" w:line="360" w:lineRule="auto"/>
              <w:ind w:right="254"/>
              <w:jc w:val="both"/>
            </w:pPr>
            <w:r w:rsidRPr="00943BE6">
              <w:rPr>
                <w:rFonts w:ascii="Palatino Linotype" w:hAnsi="Palatino Linotype" w:cs="Times New Roman"/>
                <w:noProof/>
                <w:sz w:val="20"/>
                <w:szCs w:val="20"/>
              </w:rPr>
              <w:lastRenderedPageBreak/>
              <w:drawing>
                <wp:inline distT="0" distB="0" distL="0" distR="0" wp14:anchorId="426B54E7" wp14:editId="2AA505A6">
                  <wp:extent cx="2652563" cy="14131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stretch>
                            <a:fillRect/>
                          </a:stretch>
                        </pic:blipFill>
                        <pic:spPr>
                          <a:xfrm>
                            <a:off x="0" y="0"/>
                            <a:ext cx="2688927" cy="1432537"/>
                          </a:xfrm>
                          <a:prstGeom prst="rect">
                            <a:avLst/>
                          </a:prstGeom>
                        </pic:spPr>
                      </pic:pic>
                    </a:graphicData>
                  </a:graphic>
                </wp:inline>
              </w:drawing>
            </w:r>
          </w:p>
          <w:p w14:paraId="531EF844" w14:textId="1D6E39B0" w:rsidR="00D10D62" w:rsidRPr="00943BE6" w:rsidRDefault="0093262F" w:rsidP="00C929C2">
            <w:pPr>
              <w:pStyle w:val="Caption"/>
              <w:jc w:val="both"/>
              <w:rPr>
                <w:i w:val="0"/>
                <w:iCs/>
                <w:sz w:val="18"/>
              </w:rPr>
            </w:pPr>
            <w:bookmarkStart w:id="23" w:name="_Ref205303480"/>
            <w:r w:rsidRPr="00943BE6">
              <w:rPr>
                <w:b/>
                <w:bCs w:val="0"/>
                <w:i w:val="0"/>
                <w:iCs/>
                <w:sz w:val="18"/>
              </w:rPr>
              <w:t>Fig</w:t>
            </w:r>
            <w:r w:rsidR="00436858" w:rsidRPr="00943BE6">
              <w:rPr>
                <w:b/>
                <w:bCs w:val="0"/>
                <w:i w:val="0"/>
                <w:iCs/>
                <w:sz w:val="18"/>
              </w:rPr>
              <w:t>.</w:t>
            </w:r>
            <w:r w:rsidRPr="00943BE6">
              <w:rPr>
                <w:b/>
                <w:bCs w:val="0"/>
                <w:i w:val="0"/>
                <w:iCs/>
                <w:sz w:val="18"/>
              </w:rPr>
              <w:t xml:space="preserve"> </w:t>
            </w:r>
            <w:r w:rsidRPr="00943BE6">
              <w:rPr>
                <w:b/>
                <w:bCs w:val="0"/>
                <w:i w:val="0"/>
                <w:iCs/>
                <w:sz w:val="18"/>
              </w:rPr>
              <w:fldChar w:fldCharType="begin"/>
            </w:r>
            <w:r w:rsidRPr="00943BE6">
              <w:rPr>
                <w:b/>
                <w:bCs w:val="0"/>
                <w:i w:val="0"/>
                <w:iCs/>
                <w:sz w:val="18"/>
              </w:rPr>
              <w:instrText xml:space="preserve"> SEQ Figure \* ARABIC </w:instrText>
            </w:r>
            <w:r w:rsidRPr="00943BE6">
              <w:rPr>
                <w:b/>
                <w:bCs w:val="0"/>
                <w:i w:val="0"/>
                <w:iCs/>
                <w:sz w:val="18"/>
              </w:rPr>
              <w:fldChar w:fldCharType="separate"/>
            </w:r>
            <w:r w:rsidR="0085441D" w:rsidRPr="00943BE6">
              <w:rPr>
                <w:b/>
                <w:bCs w:val="0"/>
                <w:i w:val="0"/>
                <w:iCs/>
                <w:noProof/>
                <w:sz w:val="18"/>
              </w:rPr>
              <w:t>8</w:t>
            </w:r>
            <w:r w:rsidRPr="00943BE6">
              <w:rPr>
                <w:b/>
                <w:bCs w:val="0"/>
                <w:i w:val="0"/>
                <w:iCs/>
                <w:sz w:val="18"/>
              </w:rPr>
              <w:fldChar w:fldCharType="end"/>
            </w:r>
            <w:bookmarkEnd w:id="23"/>
            <w:r w:rsidRPr="00943BE6">
              <w:rPr>
                <w:b/>
                <w:bCs w:val="0"/>
                <w:i w:val="0"/>
                <w:iCs/>
                <w:sz w:val="18"/>
              </w:rPr>
              <w:t>.</w:t>
            </w:r>
            <w:r w:rsidRPr="00943BE6">
              <w:rPr>
                <w:i w:val="0"/>
                <w:iCs/>
                <w:sz w:val="18"/>
              </w:rPr>
              <w:t xml:space="preserve"> Distribution of scaled prediction errors across deep learning models for Bitcoin forecasting (Configuration 1).</w:t>
            </w:r>
          </w:p>
        </w:tc>
        <w:tc>
          <w:tcPr>
            <w:tcW w:w="4315" w:type="dxa"/>
          </w:tcPr>
          <w:p w14:paraId="70571D1F" w14:textId="77777777" w:rsidR="00436858" w:rsidRPr="00943BE6" w:rsidRDefault="00DA130A" w:rsidP="00436858">
            <w:pPr>
              <w:pStyle w:val="ListBullet"/>
              <w:keepNext/>
              <w:numPr>
                <w:ilvl w:val="0"/>
                <w:numId w:val="0"/>
              </w:numPr>
              <w:spacing w:after="0" w:line="360" w:lineRule="auto"/>
              <w:jc w:val="both"/>
            </w:pPr>
            <w:r w:rsidRPr="00943BE6">
              <w:rPr>
                <w:rFonts w:ascii="Palatino Linotype" w:hAnsi="Palatino Linotype" w:cs="Times New Roman"/>
                <w:noProof/>
                <w:sz w:val="20"/>
                <w:szCs w:val="20"/>
              </w:rPr>
              <w:drawing>
                <wp:inline distT="0" distB="0" distL="0" distR="0" wp14:anchorId="17D68215" wp14:editId="1B490BC4">
                  <wp:extent cx="2661741" cy="1418054"/>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stretch>
                            <a:fillRect/>
                          </a:stretch>
                        </pic:blipFill>
                        <pic:spPr>
                          <a:xfrm>
                            <a:off x="0" y="0"/>
                            <a:ext cx="2708231" cy="1442822"/>
                          </a:xfrm>
                          <a:prstGeom prst="rect">
                            <a:avLst/>
                          </a:prstGeom>
                        </pic:spPr>
                      </pic:pic>
                    </a:graphicData>
                  </a:graphic>
                </wp:inline>
              </w:drawing>
            </w:r>
          </w:p>
          <w:p w14:paraId="2940FEA3" w14:textId="5F6F4965" w:rsidR="0038473B" w:rsidRPr="00943BE6" w:rsidRDefault="00436858" w:rsidP="00C929C2">
            <w:pPr>
              <w:pStyle w:val="Caption"/>
              <w:jc w:val="both"/>
              <w:rPr>
                <w:i w:val="0"/>
                <w:iCs/>
                <w:sz w:val="18"/>
              </w:rPr>
            </w:pPr>
            <w:r w:rsidRPr="00943BE6">
              <w:rPr>
                <w:b/>
                <w:bCs w:val="0"/>
                <w:i w:val="0"/>
                <w:iCs/>
                <w:sz w:val="18"/>
              </w:rPr>
              <w:t xml:space="preserve">Fig. </w:t>
            </w:r>
            <w:r w:rsidRPr="00943BE6">
              <w:rPr>
                <w:b/>
                <w:bCs w:val="0"/>
                <w:i w:val="0"/>
                <w:iCs/>
                <w:sz w:val="18"/>
              </w:rPr>
              <w:fldChar w:fldCharType="begin"/>
            </w:r>
            <w:r w:rsidRPr="00943BE6">
              <w:rPr>
                <w:b/>
                <w:bCs w:val="0"/>
                <w:i w:val="0"/>
                <w:iCs/>
                <w:sz w:val="18"/>
              </w:rPr>
              <w:instrText xml:space="preserve"> SEQ Figure \* ARABIC </w:instrText>
            </w:r>
            <w:r w:rsidRPr="00943BE6">
              <w:rPr>
                <w:b/>
                <w:bCs w:val="0"/>
                <w:i w:val="0"/>
                <w:iCs/>
                <w:sz w:val="18"/>
              </w:rPr>
              <w:fldChar w:fldCharType="separate"/>
            </w:r>
            <w:r w:rsidR="0085441D" w:rsidRPr="00943BE6">
              <w:rPr>
                <w:b/>
                <w:bCs w:val="0"/>
                <w:i w:val="0"/>
                <w:iCs/>
                <w:noProof/>
                <w:sz w:val="18"/>
              </w:rPr>
              <w:t>9</w:t>
            </w:r>
            <w:r w:rsidRPr="00943BE6">
              <w:rPr>
                <w:b/>
                <w:bCs w:val="0"/>
                <w:i w:val="0"/>
                <w:iCs/>
                <w:sz w:val="18"/>
              </w:rPr>
              <w:fldChar w:fldCharType="end"/>
            </w:r>
            <w:r w:rsidRPr="00943BE6">
              <w:rPr>
                <w:b/>
                <w:bCs w:val="0"/>
                <w:i w:val="0"/>
                <w:iCs/>
                <w:sz w:val="18"/>
              </w:rPr>
              <w:t>.</w:t>
            </w:r>
            <w:r w:rsidRPr="00943BE6">
              <w:rPr>
                <w:i w:val="0"/>
                <w:iCs/>
                <w:sz w:val="18"/>
              </w:rPr>
              <w:t xml:space="preserve"> Distribution of scaled prediction errors across deep learning models for Bitcoin forecasting (Configuration 2).</w:t>
            </w:r>
          </w:p>
          <w:p w14:paraId="66272A68" w14:textId="405F5DEF" w:rsidR="00D10D62" w:rsidRPr="00943BE6" w:rsidRDefault="00D10D62" w:rsidP="0017143B">
            <w:pPr>
              <w:pStyle w:val="Caption"/>
              <w:spacing w:line="360" w:lineRule="auto"/>
              <w:jc w:val="both"/>
              <w:rPr>
                <w:i w:val="0"/>
                <w:iCs/>
                <w:sz w:val="20"/>
                <w:szCs w:val="20"/>
              </w:rPr>
            </w:pPr>
          </w:p>
        </w:tc>
      </w:tr>
      <w:tr w:rsidR="00DA130A" w:rsidRPr="00943BE6" w14:paraId="3ECB659B" w14:textId="77777777" w:rsidTr="00B96F26">
        <w:tc>
          <w:tcPr>
            <w:tcW w:w="8856" w:type="dxa"/>
            <w:gridSpan w:val="2"/>
          </w:tcPr>
          <w:p w14:paraId="5FC2C281" w14:textId="77777777" w:rsidR="00436858" w:rsidRPr="00943BE6" w:rsidRDefault="00DA130A" w:rsidP="00436858">
            <w:pPr>
              <w:pStyle w:val="ListBullet"/>
              <w:keepNext/>
              <w:numPr>
                <w:ilvl w:val="0"/>
                <w:numId w:val="0"/>
              </w:numPr>
              <w:spacing w:before="120" w:after="120" w:line="360" w:lineRule="auto"/>
              <w:jc w:val="center"/>
            </w:pPr>
            <w:r w:rsidRPr="00943BE6">
              <w:rPr>
                <w:rFonts w:ascii="Palatino Linotype" w:hAnsi="Palatino Linotype" w:cs="Times New Roman"/>
                <w:noProof/>
                <w:sz w:val="20"/>
                <w:szCs w:val="20"/>
              </w:rPr>
              <w:drawing>
                <wp:inline distT="0" distB="0" distL="0" distR="0" wp14:anchorId="5C551127" wp14:editId="6490EEB6">
                  <wp:extent cx="2725059" cy="1442955"/>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a:stretch>
                            <a:fillRect/>
                          </a:stretch>
                        </pic:blipFill>
                        <pic:spPr>
                          <a:xfrm>
                            <a:off x="0" y="0"/>
                            <a:ext cx="2744748" cy="1453381"/>
                          </a:xfrm>
                          <a:prstGeom prst="rect">
                            <a:avLst/>
                          </a:prstGeom>
                        </pic:spPr>
                      </pic:pic>
                    </a:graphicData>
                  </a:graphic>
                </wp:inline>
              </w:drawing>
            </w:r>
          </w:p>
          <w:p w14:paraId="26A5B988" w14:textId="168DDB93" w:rsidR="00D10D62" w:rsidRPr="00943BE6" w:rsidRDefault="00436858" w:rsidP="00436858">
            <w:pPr>
              <w:pStyle w:val="Caption"/>
              <w:rPr>
                <w:i w:val="0"/>
                <w:iCs/>
                <w:sz w:val="18"/>
              </w:rPr>
            </w:pPr>
            <w:bookmarkStart w:id="24" w:name="_Ref205303483"/>
            <w:r w:rsidRPr="00943BE6">
              <w:rPr>
                <w:b/>
                <w:bCs w:val="0"/>
                <w:i w:val="0"/>
                <w:iCs/>
                <w:sz w:val="18"/>
              </w:rPr>
              <w:t xml:space="preserve">Fig. </w:t>
            </w:r>
            <w:r w:rsidRPr="00943BE6">
              <w:rPr>
                <w:b/>
                <w:bCs w:val="0"/>
                <w:i w:val="0"/>
                <w:iCs/>
                <w:sz w:val="18"/>
              </w:rPr>
              <w:fldChar w:fldCharType="begin"/>
            </w:r>
            <w:r w:rsidRPr="00943BE6">
              <w:rPr>
                <w:b/>
                <w:bCs w:val="0"/>
                <w:i w:val="0"/>
                <w:iCs/>
                <w:sz w:val="18"/>
              </w:rPr>
              <w:instrText xml:space="preserve"> SEQ Figure \* ARABIC </w:instrText>
            </w:r>
            <w:r w:rsidRPr="00943BE6">
              <w:rPr>
                <w:b/>
                <w:bCs w:val="0"/>
                <w:i w:val="0"/>
                <w:iCs/>
                <w:sz w:val="18"/>
              </w:rPr>
              <w:fldChar w:fldCharType="separate"/>
            </w:r>
            <w:r w:rsidR="0085441D" w:rsidRPr="00943BE6">
              <w:rPr>
                <w:b/>
                <w:bCs w:val="0"/>
                <w:i w:val="0"/>
                <w:iCs/>
                <w:noProof/>
                <w:sz w:val="18"/>
              </w:rPr>
              <w:t>10</w:t>
            </w:r>
            <w:r w:rsidRPr="00943BE6">
              <w:rPr>
                <w:b/>
                <w:bCs w:val="0"/>
                <w:i w:val="0"/>
                <w:iCs/>
                <w:sz w:val="18"/>
              </w:rPr>
              <w:fldChar w:fldCharType="end"/>
            </w:r>
            <w:bookmarkEnd w:id="24"/>
            <w:r w:rsidRPr="00943BE6">
              <w:rPr>
                <w:b/>
                <w:bCs w:val="0"/>
                <w:i w:val="0"/>
                <w:iCs/>
                <w:sz w:val="18"/>
              </w:rPr>
              <w:t>.</w:t>
            </w:r>
            <w:r w:rsidRPr="00943BE6">
              <w:rPr>
                <w:i w:val="0"/>
                <w:iCs/>
                <w:sz w:val="18"/>
              </w:rPr>
              <w:t xml:space="preserve"> Distribution of scaled prediction errors across deep learning models for Bitcoin forecasting (Configuration 3).</w:t>
            </w:r>
          </w:p>
        </w:tc>
      </w:tr>
    </w:tbl>
    <w:p w14:paraId="485C8C51" w14:textId="16BD7F58" w:rsidR="00F72B4B" w:rsidRPr="00943BE6" w:rsidRDefault="00EA3969" w:rsidP="001C7C89">
      <w:pPr>
        <w:spacing w:before="120" w:after="120" w:line="360" w:lineRule="auto"/>
        <w:ind w:firstLine="720"/>
        <w:rPr>
          <w:rFonts w:ascii="Palatino Linotype" w:hAnsi="Palatino Linotype"/>
        </w:rPr>
      </w:pPr>
      <w:r w:rsidRPr="00943BE6">
        <w:rPr>
          <w:rFonts w:ascii="Palatino Linotype" w:hAnsi="Palatino Linotype"/>
        </w:rPr>
        <w:t xml:space="preserve">The error distribution plots </w:t>
      </w:r>
      <w:r w:rsidR="00C53571" w:rsidRPr="00943BE6">
        <w:rPr>
          <w:rFonts w:ascii="Palatino Linotype" w:hAnsi="Palatino Linotype"/>
        </w:rPr>
        <w:t>(</w:t>
      </w:r>
      <w:r w:rsidR="00C53571" w:rsidRPr="00943BE6">
        <w:rPr>
          <w:rFonts w:ascii="Palatino Linotype" w:hAnsi="Palatino Linotype"/>
        </w:rPr>
        <w:fldChar w:fldCharType="begin"/>
      </w:r>
      <w:r w:rsidR="00C53571" w:rsidRPr="00943BE6">
        <w:rPr>
          <w:rFonts w:ascii="Palatino Linotype" w:hAnsi="Palatino Linotype"/>
        </w:rPr>
        <w:instrText xml:space="preserve"> REF _Ref205303480 \h  \* MERGEFORMAT </w:instrText>
      </w:r>
      <w:r w:rsidR="00C53571" w:rsidRPr="00943BE6">
        <w:rPr>
          <w:rFonts w:ascii="Palatino Linotype" w:hAnsi="Palatino Linotype"/>
        </w:rPr>
      </w:r>
      <w:r w:rsidR="00C53571" w:rsidRPr="00943BE6">
        <w:rPr>
          <w:rFonts w:ascii="Palatino Linotype" w:hAnsi="Palatino Linotype"/>
        </w:rPr>
        <w:fldChar w:fldCharType="separate"/>
      </w:r>
      <w:r w:rsidR="0085441D" w:rsidRPr="00943BE6">
        <w:rPr>
          <w:rFonts w:ascii="Palatino Linotype" w:hAnsi="Palatino Linotype"/>
        </w:rPr>
        <w:t>Fig. 8</w:t>
      </w:r>
      <w:r w:rsidR="00C53571" w:rsidRPr="00943BE6">
        <w:rPr>
          <w:rFonts w:ascii="Palatino Linotype" w:hAnsi="Palatino Linotype"/>
        </w:rPr>
        <w:fldChar w:fldCharType="end"/>
      </w:r>
      <w:r w:rsidR="00C53571" w:rsidRPr="00943BE6">
        <w:rPr>
          <w:rFonts w:ascii="Palatino Linotype" w:hAnsi="Palatino Linotype"/>
        </w:rPr>
        <w:t xml:space="preserve"> - </w:t>
      </w:r>
      <w:r w:rsidR="00C53571" w:rsidRPr="00943BE6">
        <w:rPr>
          <w:rFonts w:ascii="Palatino Linotype" w:hAnsi="Palatino Linotype"/>
        </w:rPr>
        <w:fldChar w:fldCharType="begin"/>
      </w:r>
      <w:r w:rsidR="00C53571" w:rsidRPr="00943BE6">
        <w:rPr>
          <w:rFonts w:ascii="Palatino Linotype" w:hAnsi="Palatino Linotype"/>
        </w:rPr>
        <w:instrText xml:space="preserve"> REF _Ref205303483 \h  \* MERGEFORMAT </w:instrText>
      </w:r>
      <w:r w:rsidR="00C53571" w:rsidRPr="00943BE6">
        <w:rPr>
          <w:rFonts w:ascii="Palatino Linotype" w:hAnsi="Palatino Linotype"/>
        </w:rPr>
      </w:r>
      <w:r w:rsidR="00C53571" w:rsidRPr="00943BE6">
        <w:rPr>
          <w:rFonts w:ascii="Palatino Linotype" w:hAnsi="Palatino Linotype"/>
        </w:rPr>
        <w:fldChar w:fldCharType="separate"/>
      </w:r>
      <w:r w:rsidR="0085441D" w:rsidRPr="00943BE6">
        <w:rPr>
          <w:rFonts w:ascii="Palatino Linotype" w:hAnsi="Palatino Linotype"/>
        </w:rPr>
        <w:t>Fig. 10</w:t>
      </w:r>
      <w:r w:rsidR="00C53571" w:rsidRPr="00943BE6">
        <w:rPr>
          <w:rFonts w:ascii="Palatino Linotype" w:hAnsi="Palatino Linotype"/>
        </w:rPr>
        <w:fldChar w:fldCharType="end"/>
      </w:r>
      <w:r w:rsidR="00C53571" w:rsidRPr="00943BE6">
        <w:rPr>
          <w:rFonts w:ascii="Palatino Linotype" w:hAnsi="Palatino Linotype"/>
        </w:rPr>
        <w:t xml:space="preserve">) </w:t>
      </w:r>
      <w:r w:rsidRPr="00943BE6">
        <w:rPr>
          <w:rFonts w:ascii="Palatino Linotype" w:hAnsi="Palatino Linotype"/>
        </w:rPr>
        <w:t xml:space="preserve">presented further substantiate the performance distinctions among the five evaluated models across </w:t>
      </w:r>
      <w:r w:rsidR="00AC4150" w:rsidRPr="00943BE6">
        <w:rPr>
          <w:rFonts w:ascii="Palatino Linotype" w:hAnsi="Palatino Linotype"/>
        </w:rPr>
        <w:t>c</w:t>
      </w:r>
      <w:r w:rsidRPr="00943BE6">
        <w:rPr>
          <w:rFonts w:ascii="Palatino Linotype" w:hAnsi="Palatino Linotype"/>
        </w:rPr>
        <w:t>onfigurations 1</w:t>
      </w:r>
      <w:r w:rsidR="00AC4150" w:rsidRPr="00943BE6">
        <w:rPr>
          <w:rFonts w:ascii="Palatino Linotype" w:hAnsi="Palatino Linotype"/>
        </w:rPr>
        <w:t xml:space="preserve"> -</w:t>
      </w:r>
      <w:r w:rsidRPr="00943BE6">
        <w:rPr>
          <w:rFonts w:ascii="Palatino Linotype" w:hAnsi="Palatino Linotype"/>
        </w:rPr>
        <w:t xml:space="preserve"> 3, respectively. </w:t>
      </w:r>
      <w:r w:rsidR="00280E61" w:rsidRPr="00943BE6">
        <w:rPr>
          <w:rFonts w:ascii="Palatino Linotype" w:hAnsi="Palatino Linotype"/>
        </w:rPr>
        <w:t>Each histogram shows how the scaled prediction errors are spread out, making it easy to visually evaluate any bias, variability, and how closely the errors cluster around zero. In an ideal case, a well-tuned model would have errors that are tightly grouped near zero with little variation, signaling that its predictions are both accurate and reliable.</w:t>
      </w:r>
    </w:p>
    <w:p w14:paraId="2021A961" w14:textId="77777777" w:rsidR="007C60A9" w:rsidRPr="00943BE6" w:rsidRDefault="007C60A9" w:rsidP="001C7C89">
      <w:pPr>
        <w:spacing w:before="120" w:after="120" w:line="360" w:lineRule="auto"/>
        <w:ind w:firstLine="720"/>
        <w:rPr>
          <w:rFonts w:ascii="Palatino Linotype" w:hAnsi="Palatino Linotype"/>
        </w:rPr>
      </w:pPr>
      <w:r w:rsidRPr="00943BE6">
        <w:rPr>
          <w:rFonts w:ascii="Palatino Linotype" w:hAnsi="Palatino Linotype"/>
        </w:rPr>
        <w:t>In all three setups, the GRU model shows the most tightly packed and balanced error distributions, with most errors concentrated close to zero. This limited spread indicates minimal bias and strong consistency, meaning the GRU delivers accurate and reliable predictions over time. Additionally, the slim tails in its histograms suggest it produces fewer extreme forecasting errors than other models.</w:t>
      </w:r>
    </w:p>
    <w:p w14:paraId="06DD33E8" w14:textId="65664994" w:rsidR="00EA3969" w:rsidRPr="00943BE6" w:rsidRDefault="00EA3969" w:rsidP="001C7C89">
      <w:pPr>
        <w:spacing w:before="120" w:after="120" w:line="360" w:lineRule="auto"/>
        <w:ind w:firstLine="720"/>
        <w:rPr>
          <w:rFonts w:ascii="Palatino Linotype" w:hAnsi="Palatino Linotype"/>
        </w:rPr>
      </w:pPr>
      <w:r w:rsidRPr="00943BE6">
        <w:rPr>
          <w:rFonts w:ascii="Palatino Linotype" w:hAnsi="Palatino Linotype"/>
        </w:rPr>
        <w:t xml:space="preserve">By contrast, the error distributions of Transformer and 1D-CNN are significantly broader and more skewed, particularly in </w:t>
      </w:r>
      <w:r w:rsidR="00AB0A28" w:rsidRPr="00943BE6">
        <w:rPr>
          <w:rFonts w:ascii="Palatino Linotype" w:hAnsi="Palatino Linotype"/>
        </w:rPr>
        <w:t xml:space="preserve">the second and third </w:t>
      </w:r>
      <w:r w:rsidR="00AC4150" w:rsidRPr="00943BE6">
        <w:rPr>
          <w:rFonts w:ascii="Palatino Linotype" w:hAnsi="Palatino Linotype"/>
        </w:rPr>
        <w:t>c</w:t>
      </w:r>
      <w:r w:rsidRPr="00943BE6">
        <w:rPr>
          <w:rFonts w:ascii="Palatino Linotype" w:hAnsi="Palatino Linotype"/>
        </w:rPr>
        <w:t>onfigurations. These patterns indicate higher variance and a greater occurrence of large prediction errors, confirming their relative instability in mid-to-long forecasting setups. LSTM and Bi-LSTM show intermediate performance, with error distributions that are wider and more dispersed than GRU, but narrower than Transformer and CNN.</w:t>
      </w:r>
    </w:p>
    <w:p w14:paraId="6F1D0DAA" w14:textId="147E3325" w:rsidR="00EA3969" w:rsidRPr="00943BE6" w:rsidRDefault="009F7A1C" w:rsidP="001C7C89">
      <w:pPr>
        <w:spacing w:before="120" w:after="120" w:line="360" w:lineRule="auto"/>
        <w:ind w:firstLine="720"/>
        <w:rPr>
          <w:rFonts w:ascii="Palatino Linotype" w:hAnsi="Palatino Linotype"/>
        </w:rPr>
      </w:pPr>
      <w:r w:rsidRPr="00943BE6">
        <w:rPr>
          <w:rFonts w:ascii="Palatino Linotype" w:hAnsi="Palatino Linotype"/>
        </w:rPr>
        <w:t xml:space="preserve">The difference between these distributions becomes clearer as the size of the input-output window grows. </w:t>
      </w:r>
      <w:r w:rsidR="00EA3969" w:rsidRPr="00943BE6">
        <w:rPr>
          <w:rFonts w:ascii="Palatino Linotype" w:hAnsi="Palatino Linotype"/>
        </w:rPr>
        <w:t>This highlights the GRU model’s ability to maintain low and stable error variance across increasing forecast horizons, a key attribute for deployment in real-world financial forecasting systems where consistent performance is critical under shifting market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5"/>
        <w:gridCol w:w="4370"/>
      </w:tblGrid>
      <w:tr w:rsidR="00DA130A" w:rsidRPr="00943BE6" w14:paraId="073A069E" w14:textId="77777777" w:rsidTr="00D85A41">
        <w:tc>
          <w:tcPr>
            <w:tcW w:w="4585" w:type="dxa"/>
          </w:tcPr>
          <w:p w14:paraId="77938486" w14:textId="77777777" w:rsidR="00521F9F" w:rsidRPr="00943BE6" w:rsidRDefault="00DA130A" w:rsidP="00521F9F">
            <w:pPr>
              <w:pStyle w:val="ListBullet"/>
              <w:keepNext/>
              <w:numPr>
                <w:ilvl w:val="0"/>
                <w:numId w:val="0"/>
              </w:numPr>
              <w:spacing w:after="0" w:line="360" w:lineRule="auto"/>
              <w:ind w:right="254"/>
              <w:jc w:val="both"/>
            </w:pPr>
            <w:r w:rsidRPr="00943BE6">
              <w:rPr>
                <w:rFonts w:ascii="Palatino Linotype" w:hAnsi="Palatino Linotype" w:cs="Times New Roman"/>
                <w:noProof/>
                <w:sz w:val="20"/>
                <w:szCs w:val="20"/>
              </w:rPr>
              <w:lastRenderedPageBreak/>
              <w:drawing>
                <wp:inline distT="0" distB="0" distL="0" distR="0" wp14:anchorId="3591FF42" wp14:editId="3CFA5294">
                  <wp:extent cx="2685059" cy="1424573"/>
                  <wp:effectExtent l="0" t="0" r="127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stretch>
                            <a:fillRect/>
                          </a:stretch>
                        </pic:blipFill>
                        <pic:spPr>
                          <a:xfrm>
                            <a:off x="0" y="0"/>
                            <a:ext cx="2714143" cy="1440004"/>
                          </a:xfrm>
                          <a:prstGeom prst="rect">
                            <a:avLst/>
                          </a:prstGeom>
                        </pic:spPr>
                      </pic:pic>
                    </a:graphicData>
                  </a:graphic>
                </wp:inline>
              </w:drawing>
            </w:r>
          </w:p>
          <w:p w14:paraId="2370280A" w14:textId="53D03F8D" w:rsidR="00E023B7" w:rsidRPr="00943BE6" w:rsidRDefault="00521F9F" w:rsidP="00452D41">
            <w:pPr>
              <w:pStyle w:val="Caption"/>
              <w:jc w:val="both"/>
              <w:rPr>
                <w:i w:val="0"/>
                <w:iCs/>
                <w:sz w:val="18"/>
              </w:rPr>
            </w:pPr>
            <w:bookmarkStart w:id="25" w:name="_Ref205302856"/>
            <w:r w:rsidRPr="00943BE6">
              <w:rPr>
                <w:b/>
                <w:bCs w:val="0"/>
                <w:i w:val="0"/>
                <w:iCs/>
                <w:sz w:val="18"/>
              </w:rPr>
              <w:t xml:space="preserve">Fig. </w:t>
            </w:r>
            <w:r w:rsidRPr="00943BE6">
              <w:rPr>
                <w:b/>
                <w:bCs w:val="0"/>
                <w:i w:val="0"/>
                <w:iCs/>
                <w:sz w:val="18"/>
              </w:rPr>
              <w:fldChar w:fldCharType="begin"/>
            </w:r>
            <w:r w:rsidRPr="00943BE6">
              <w:rPr>
                <w:b/>
                <w:bCs w:val="0"/>
                <w:i w:val="0"/>
                <w:iCs/>
                <w:sz w:val="18"/>
              </w:rPr>
              <w:instrText xml:space="preserve"> SEQ Figure \* ARABIC </w:instrText>
            </w:r>
            <w:r w:rsidRPr="00943BE6">
              <w:rPr>
                <w:b/>
                <w:bCs w:val="0"/>
                <w:i w:val="0"/>
                <w:iCs/>
                <w:sz w:val="18"/>
              </w:rPr>
              <w:fldChar w:fldCharType="separate"/>
            </w:r>
            <w:r w:rsidR="0085441D" w:rsidRPr="00943BE6">
              <w:rPr>
                <w:b/>
                <w:bCs w:val="0"/>
                <w:i w:val="0"/>
                <w:iCs/>
                <w:noProof/>
                <w:sz w:val="18"/>
              </w:rPr>
              <w:t>11</w:t>
            </w:r>
            <w:r w:rsidRPr="00943BE6">
              <w:rPr>
                <w:b/>
                <w:bCs w:val="0"/>
                <w:i w:val="0"/>
                <w:iCs/>
                <w:sz w:val="18"/>
              </w:rPr>
              <w:fldChar w:fldCharType="end"/>
            </w:r>
            <w:bookmarkEnd w:id="25"/>
            <w:r w:rsidRPr="00943BE6">
              <w:rPr>
                <w:b/>
                <w:bCs w:val="0"/>
                <w:i w:val="0"/>
                <w:iCs/>
                <w:sz w:val="18"/>
              </w:rPr>
              <w:t>.</w:t>
            </w:r>
            <w:r w:rsidRPr="00943BE6">
              <w:rPr>
                <w:i w:val="0"/>
                <w:iCs/>
                <w:sz w:val="18"/>
              </w:rPr>
              <w:t xml:space="preserve"> Scaled residual error trends over time for deep learning models under Configuration 1.</w:t>
            </w:r>
          </w:p>
        </w:tc>
        <w:tc>
          <w:tcPr>
            <w:tcW w:w="4370" w:type="dxa"/>
          </w:tcPr>
          <w:p w14:paraId="43FFD0C3" w14:textId="77777777" w:rsidR="00521F9F" w:rsidRPr="00943BE6" w:rsidRDefault="00DA130A" w:rsidP="00521F9F">
            <w:pPr>
              <w:pStyle w:val="ListBullet"/>
              <w:keepNext/>
              <w:numPr>
                <w:ilvl w:val="0"/>
                <w:numId w:val="0"/>
              </w:numPr>
              <w:spacing w:after="0" w:line="360" w:lineRule="auto"/>
              <w:jc w:val="both"/>
            </w:pPr>
            <w:r w:rsidRPr="00943BE6">
              <w:rPr>
                <w:rFonts w:ascii="Palatino Linotype" w:hAnsi="Palatino Linotype" w:cs="Times New Roman"/>
                <w:iCs/>
                <w:noProof/>
                <w:sz w:val="20"/>
                <w:szCs w:val="20"/>
              </w:rPr>
              <w:drawing>
                <wp:inline distT="0" distB="0" distL="0" distR="0" wp14:anchorId="6A3EDC2B" wp14:editId="089146C0">
                  <wp:extent cx="2663917" cy="1410581"/>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a:stretch>
                            <a:fillRect/>
                          </a:stretch>
                        </pic:blipFill>
                        <pic:spPr>
                          <a:xfrm>
                            <a:off x="0" y="0"/>
                            <a:ext cx="2693009" cy="1425986"/>
                          </a:xfrm>
                          <a:prstGeom prst="rect">
                            <a:avLst/>
                          </a:prstGeom>
                        </pic:spPr>
                      </pic:pic>
                    </a:graphicData>
                  </a:graphic>
                </wp:inline>
              </w:drawing>
            </w:r>
          </w:p>
          <w:p w14:paraId="3F12F840" w14:textId="376AE397" w:rsidR="0038473B" w:rsidRPr="00943BE6" w:rsidRDefault="00521F9F" w:rsidP="00452D41">
            <w:pPr>
              <w:pStyle w:val="Caption"/>
              <w:jc w:val="both"/>
              <w:rPr>
                <w:i w:val="0"/>
                <w:iCs/>
                <w:sz w:val="18"/>
              </w:rPr>
            </w:pPr>
            <w:r w:rsidRPr="00943BE6">
              <w:rPr>
                <w:b/>
                <w:bCs w:val="0"/>
                <w:i w:val="0"/>
                <w:iCs/>
                <w:sz w:val="18"/>
              </w:rPr>
              <w:t xml:space="preserve">Fig. </w:t>
            </w:r>
            <w:r w:rsidRPr="00943BE6">
              <w:rPr>
                <w:b/>
                <w:bCs w:val="0"/>
                <w:i w:val="0"/>
                <w:iCs/>
                <w:sz w:val="18"/>
              </w:rPr>
              <w:fldChar w:fldCharType="begin"/>
            </w:r>
            <w:r w:rsidRPr="00943BE6">
              <w:rPr>
                <w:b/>
                <w:bCs w:val="0"/>
                <w:i w:val="0"/>
                <w:iCs/>
                <w:sz w:val="18"/>
              </w:rPr>
              <w:instrText xml:space="preserve"> SEQ Figure \* ARABIC </w:instrText>
            </w:r>
            <w:r w:rsidRPr="00943BE6">
              <w:rPr>
                <w:b/>
                <w:bCs w:val="0"/>
                <w:i w:val="0"/>
                <w:iCs/>
                <w:sz w:val="18"/>
              </w:rPr>
              <w:fldChar w:fldCharType="separate"/>
            </w:r>
            <w:r w:rsidR="0085441D" w:rsidRPr="00943BE6">
              <w:rPr>
                <w:b/>
                <w:bCs w:val="0"/>
                <w:i w:val="0"/>
                <w:iCs/>
                <w:noProof/>
                <w:sz w:val="18"/>
              </w:rPr>
              <w:t>12</w:t>
            </w:r>
            <w:r w:rsidRPr="00943BE6">
              <w:rPr>
                <w:b/>
                <w:bCs w:val="0"/>
                <w:i w:val="0"/>
                <w:iCs/>
                <w:sz w:val="18"/>
              </w:rPr>
              <w:fldChar w:fldCharType="end"/>
            </w:r>
            <w:r w:rsidRPr="00943BE6">
              <w:rPr>
                <w:b/>
                <w:bCs w:val="0"/>
                <w:i w:val="0"/>
                <w:iCs/>
                <w:sz w:val="18"/>
              </w:rPr>
              <w:t>.</w:t>
            </w:r>
            <w:r w:rsidRPr="00943BE6">
              <w:rPr>
                <w:i w:val="0"/>
                <w:iCs/>
                <w:sz w:val="18"/>
              </w:rPr>
              <w:t xml:space="preserve"> Scaled residual error trends over time for deep learning models under Configuration 2.</w:t>
            </w:r>
          </w:p>
          <w:p w14:paraId="20BCD4BC" w14:textId="5E3E9E84" w:rsidR="00E023B7" w:rsidRPr="00943BE6" w:rsidRDefault="00E023B7" w:rsidP="00521F9F">
            <w:pPr>
              <w:pStyle w:val="Caption"/>
              <w:spacing w:line="360" w:lineRule="auto"/>
              <w:ind w:right="-55"/>
              <w:jc w:val="both"/>
              <w:rPr>
                <w:i w:val="0"/>
                <w:iCs/>
                <w:sz w:val="20"/>
                <w:szCs w:val="20"/>
              </w:rPr>
            </w:pPr>
          </w:p>
        </w:tc>
      </w:tr>
      <w:tr w:rsidR="00DA130A" w:rsidRPr="00943BE6" w14:paraId="5C11E87E" w14:textId="77777777" w:rsidTr="00B96F26">
        <w:tc>
          <w:tcPr>
            <w:tcW w:w="8955" w:type="dxa"/>
            <w:gridSpan w:val="2"/>
          </w:tcPr>
          <w:p w14:paraId="1178DD03" w14:textId="77777777" w:rsidR="00DE7935" w:rsidRPr="00943BE6" w:rsidRDefault="00DA130A" w:rsidP="00DE7935">
            <w:pPr>
              <w:pStyle w:val="ListBullet"/>
              <w:keepNext/>
              <w:numPr>
                <w:ilvl w:val="0"/>
                <w:numId w:val="0"/>
              </w:numPr>
              <w:spacing w:after="0" w:line="360" w:lineRule="auto"/>
              <w:jc w:val="center"/>
            </w:pPr>
            <w:r w:rsidRPr="00943BE6">
              <w:rPr>
                <w:rFonts w:ascii="Palatino Linotype" w:hAnsi="Palatino Linotype" w:cs="Times New Roman"/>
                <w:iCs/>
                <w:noProof/>
                <w:sz w:val="20"/>
                <w:szCs w:val="20"/>
              </w:rPr>
              <w:drawing>
                <wp:inline distT="0" distB="0" distL="0" distR="0" wp14:anchorId="4853E128" wp14:editId="54F19837">
                  <wp:extent cx="2771648" cy="1464097"/>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a:stretch>
                            <a:fillRect/>
                          </a:stretch>
                        </pic:blipFill>
                        <pic:spPr>
                          <a:xfrm>
                            <a:off x="0" y="0"/>
                            <a:ext cx="2808812" cy="1483729"/>
                          </a:xfrm>
                          <a:prstGeom prst="rect">
                            <a:avLst/>
                          </a:prstGeom>
                        </pic:spPr>
                      </pic:pic>
                    </a:graphicData>
                  </a:graphic>
                </wp:inline>
              </w:drawing>
            </w:r>
          </w:p>
          <w:p w14:paraId="581C9877" w14:textId="4FCE96AD" w:rsidR="00E023B7" w:rsidRPr="00943BE6" w:rsidRDefault="00DE7935" w:rsidP="00DE7935">
            <w:pPr>
              <w:pStyle w:val="Caption"/>
              <w:rPr>
                <w:i w:val="0"/>
                <w:iCs/>
                <w:sz w:val="20"/>
                <w:szCs w:val="20"/>
              </w:rPr>
            </w:pPr>
            <w:bookmarkStart w:id="26" w:name="_Ref205302859"/>
            <w:r w:rsidRPr="00943BE6">
              <w:rPr>
                <w:b/>
                <w:bCs w:val="0"/>
                <w:i w:val="0"/>
                <w:iCs/>
                <w:sz w:val="20"/>
                <w:szCs w:val="20"/>
              </w:rPr>
              <w:t xml:space="preserve">Fig. </w:t>
            </w:r>
            <w:r w:rsidRPr="00943BE6">
              <w:rPr>
                <w:b/>
                <w:bCs w:val="0"/>
                <w:i w:val="0"/>
                <w:iCs/>
                <w:sz w:val="20"/>
                <w:szCs w:val="20"/>
              </w:rPr>
              <w:fldChar w:fldCharType="begin"/>
            </w:r>
            <w:r w:rsidRPr="00943BE6">
              <w:rPr>
                <w:b/>
                <w:bCs w:val="0"/>
                <w:i w:val="0"/>
                <w:iCs/>
                <w:sz w:val="20"/>
                <w:szCs w:val="20"/>
              </w:rPr>
              <w:instrText xml:space="preserve"> SEQ Figure \* ARABIC </w:instrText>
            </w:r>
            <w:r w:rsidRPr="00943BE6">
              <w:rPr>
                <w:b/>
                <w:bCs w:val="0"/>
                <w:i w:val="0"/>
                <w:iCs/>
                <w:sz w:val="20"/>
                <w:szCs w:val="20"/>
              </w:rPr>
              <w:fldChar w:fldCharType="separate"/>
            </w:r>
            <w:r w:rsidR="0085441D" w:rsidRPr="00943BE6">
              <w:rPr>
                <w:b/>
                <w:bCs w:val="0"/>
                <w:i w:val="0"/>
                <w:iCs/>
                <w:noProof/>
                <w:sz w:val="20"/>
                <w:szCs w:val="20"/>
              </w:rPr>
              <w:t>13</w:t>
            </w:r>
            <w:r w:rsidRPr="00943BE6">
              <w:rPr>
                <w:b/>
                <w:bCs w:val="0"/>
                <w:i w:val="0"/>
                <w:iCs/>
                <w:sz w:val="20"/>
                <w:szCs w:val="20"/>
              </w:rPr>
              <w:fldChar w:fldCharType="end"/>
            </w:r>
            <w:bookmarkEnd w:id="26"/>
            <w:r w:rsidRPr="00943BE6">
              <w:rPr>
                <w:b/>
                <w:bCs w:val="0"/>
                <w:i w:val="0"/>
                <w:iCs/>
                <w:sz w:val="20"/>
                <w:szCs w:val="20"/>
              </w:rPr>
              <w:t>.</w:t>
            </w:r>
            <w:r w:rsidRPr="00943BE6">
              <w:rPr>
                <w:i w:val="0"/>
                <w:iCs/>
                <w:sz w:val="20"/>
                <w:szCs w:val="20"/>
              </w:rPr>
              <w:t xml:space="preserve"> Scaled residual error trends over time for deep learning models under Configuration 3.</w:t>
            </w:r>
          </w:p>
        </w:tc>
      </w:tr>
    </w:tbl>
    <w:p w14:paraId="38D11D2B" w14:textId="45946168" w:rsidR="00EA3969" w:rsidRPr="00943BE6" w:rsidRDefault="00EA3969" w:rsidP="001C7C89">
      <w:pPr>
        <w:spacing w:before="120" w:after="120" w:line="360" w:lineRule="auto"/>
        <w:ind w:firstLine="567"/>
        <w:rPr>
          <w:rFonts w:ascii="Palatino Linotype" w:hAnsi="Palatino Linotype"/>
        </w:rPr>
      </w:pPr>
      <w:r w:rsidRPr="00943BE6">
        <w:rPr>
          <w:rFonts w:ascii="Palatino Linotype" w:hAnsi="Palatino Linotype"/>
        </w:rPr>
        <w:t>The temporal behavior of residual errors is visualized in</w:t>
      </w:r>
      <w:r w:rsidR="00877465" w:rsidRPr="00943BE6">
        <w:rPr>
          <w:rFonts w:ascii="Palatino Linotype" w:hAnsi="Palatino Linotype"/>
        </w:rPr>
        <w:t xml:space="preserve"> </w:t>
      </w:r>
      <w:r w:rsidR="00877465" w:rsidRPr="00943BE6">
        <w:rPr>
          <w:rFonts w:ascii="Palatino Linotype" w:hAnsi="Palatino Linotype"/>
        </w:rPr>
        <w:fldChar w:fldCharType="begin"/>
      </w:r>
      <w:r w:rsidR="00877465" w:rsidRPr="00943BE6">
        <w:rPr>
          <w:rFonts w:ascii="Palatino Linotype" w:hAnsi="Palatino Linotype"/>
        </w:rPr>
        <w:instrText xml:space="preserve"> REF _Ref205302856 \h  \* MERGEFORMAT </w:instrText>
      </w:r>
      <w:r w:rsidR="00877465" w:rsidRPr="00943BE6">
        <w:rPr>
          <w:rFonts w:ascii="Palatino Linotype" w:hAnsi="Palatino Linotype"/>
        </w:rPr>
      </w:r>
      <w:r w:rsidR="00877465" w:rsidRPr="00943BE6">
        <w:rPr>
          <w:rFonts w:ascii="Palatino Linotype" w:hAnsi="Palatino Linotype"/>
        </w:rPr>
        <w:fldChar w:fldCharType="separate"/>
      </w:r>
      <w:r w:rsidR="0085441D" w:rsidRPr="00943BE6">
        <w:rPr>
          <w:rFonts w:ascii="Palatino Linotype" w:hAnsi="Palatino Linotype"/>
        </w:rPr>
        <w:t>Fig. 11</w:t>
      </w:r>
      <w:r w:rsidR="00877465" w:rsidRPr="00943BE6">
        <w:rPr>
          <w:rFonts w:ascii="Palatino Linotype" w:hAnsi="Palatino Linotype"/>
        </w:rPr>
        <w:fldChar w:fldCharType="end"/>
      </w:r>
      <w:r w:rsidR="00ED053B" w:rsidRPr="00943BE6">
        <w:rPr>
          <w:rFonts w:ascii="Palatino Linotype" w:hAnsi="Palatino Linotype"/>
        </w:rPr>
        <w:t xml:space="preserve"> </w:t>
      </w:r>
      <w:r w:rsidR="00877465" w:rsidRPr="00943BE6">
        <w:rPr>
          <w:rFonts w:ascii="Palatino Linotype" w:hAnsi="Palatino Linotype"/>
        </w:rPr>
        <w:t xml:space="preserve">- </w:t>
      </w:r>
      <w:r w:rsidR="00877465" w:rsidRPr="00943BE6">
        <w:rPr>
          <w:rFonts w:ascii="Palatino Linotype" w:hAnsi="Palatino Linotype"/>
        </w:rPr>
        <w:fldChar w:fldCharType="begin"/>
      </w:r>
      <w:r w:rsidR="00877465" w:rsidRPr="00943BE6">
        <w:rPr>
          <w:rFonts w:ascii="Palatino Linotype" w:hAnsi="Palatino Linotype"/>
        </w:rPr>
        <w:instrText xml:space="preserve"> REF _Ref205302859 \h  \* MERGEFORMAT </w:instrText>
      </w:r>
      <w:r w:rsidR="00877465" w:rsidRPr="00943BE6">
        <w:rPr>
          <w:rFonts w:ascii="Palatino Linotype" w:hAnsi="Palatino Linotype"/>
        </w:rPr>
      </w:r>
      <w:r w:rsidR="00877465" w:rsidRPr="00943BE6">
        <w:rPr>
          <w:rFonts w:ascii="Palatino Linotype" w:hAnsi="Palatino Linotype"/>
        </w:rPr>
        <w:fldChar w:fldCharType="separate"/>
      </w:r>
      <w:r w:rsidR="0085441D" w:rsidRPr="00943BE6">
        <w:rPr>
          <w:rFonts w:ascii="Palatino Linotype" w:hAnsi="Palatino Linotype"/>
        </w:rPr>
        <w:t>Fig. 13</w:t>
      </w:r>
      <w:r w:rsidR="00877465" w:rsidRPr="00943BE6">
        <w:rPr>
          <w:rFonts w:ascii="Palatino Linotype" w:hAnsi="Palatino Linotype"/>
        </w:rPr>
        <w:fldChar w:fldCharType="end"/>
      </w:r>
      <w:r w:rsidRPr="00943BE6">
        <w:rPr>
          <w:rFonts w:ascii="Palatino Linotype" w:hAnsi="Palatino Linotype"/>
        </w:rPr>
        <w:t xml:space="preserve"> for </w:t>
      </w:r>
      <w:r w:rsidR="00986A79" w:rsidRPr="00943BE6">
        <w:rPr>
          <w:rFonts w:ascii="Palatino Linotype" w:hAnsi="Palatino Linotype"/>
        </w:rPr>
        <w:t>c</w:t>
      </w:r>
      <w:r w:rsidRPr="00943BE6">
        <w:rPr>
          <w:rFonts w:ascii="Palatino Linotype" w:hAnsi="Palatino Linotype"/>
        </w:rPr>
        <w:t>onfigurations 1</w:t>
      </w:r>
      <w:r w:rsidR="00986A79" w:rsidRPr="00943BE6">
        <w:rPr>
          <w:rFonts w:ascii="Palatino Linotype" w:hAnsi="Palatino Linotype"/>
        </w:rPr>
        <w:t xml:space="preserve"> -</w:t>
      </w:r>
      <w:r w:rsidRPr="00943BE6">
        <w:rPr>
          <w:rFonts w:ascii="Palatino Linotype" w:hAnsi="Palatino Linotype"/>
        </w:rPr>
        <w:t xml:space="preserve"> 3, respectively. </w:t>
      </w:r>
      <w:r w:rsidR="00A44063" w:rsidRPr="00943BE6">
        <w:rPr>
          <w:rFonts w:ascii="Palatino Linotype" w:hAnsi="Palatino Linotype"/>
        </w:rPr>
        <w:t>These charts show how the residuals — the gap between predicted and actual Bitcoin closing prices — change over time. Tracking these error patterns is crucial for spotting consistent biases, shifts in model behavior, or instability over time, all of which can affect how dependable a forecasting model is in the fast-changing world of finance</w:t>
      </w:r>
      <w:r w:rsidR="00573251" w:rsidRPr="00943BE6">
        <w:rPr>
          <w:rFonts w:ascii="Palatino Linotype" w:hAnsi="Palatino Linotype"/>
        </w:rPr>
        <w:t>.</w:t>
      </w:r>
    </w:p>
    <w:p w14:paraId="5DBBC43F" w14:textId="77777777" w:rsidR="006E352F" w:rsidRPr="00943BE6" w:rsidRDefault="006E352F" w:rsidP="001C7C89">
      <w:pPr>
        <w:spacing w:before="120" w:after="120" w:line="360" w:lineRule="auto"/>
        <w:ind w:firstLine="567"/>
        <w:rPr>
          <w:rFonts w:ascii="Palatino Linotype" w:hAnsi="Palatino Linotype"/>
        </w:rPr>
      </w:pPr>
      <w:r w:rsidRPr="00943BE6">
        <w:rPr>
          <w:rFonts w:ascii="Palatino Linotype" w:hAnsi="Palatino Linotype"/>
        </w:rPr>
        <w:t>In all three setups, the GRU model shows the most consistent and steady residual patterns, with variations closely clustered around the zero line. This suggests that GRU not only keeps forecasting errors low on average but also spreads them out evenly over time, avoiding any long-term drift or bias in one direction. This performance points to a strong ability to generalize and adapt over time — both of which are essential for managing the ever-changing nature of cryptocurrency markets.</w:t>
      </w:r>
    </w:p>
    <w:p w14:paraId="5B032BD2" w14:textId="3BE866C7" w:rsidR="00EA3969" w:rsidRPr="00943BE6" w:rsidRDefault="00EA3969" w:rsidP="001C7C89">
      <w:pPr>
        <w:spacing w:before="120" w:after="120" w:line="360" w:lineRule="auto"/>
        <w:ind w:firstLine="567"/>
        <w:rPr>
          <w:rFonts w:ascii="Palatino Linotype" w:hAnsi="Palatino Linotype"/>
        </w:rPr>
      </w:pPr>
      <w:r w:rsidRPr="00943BE6">
        <w:rPr>
          <w:rFonts w:ascii="Palatino Linotype" w:hAnsi="Palatino Linotype"/>
        </w:rPr>
        <w:t>In contrast, the Transformer model exhibits residual trends with more pronounced volatility and occasi</w:t>
      </w:r>
      <w:r w:rsidR="009D6861" w:rsidRPr="00943BE6">
        <w:rPr>
          <w:rFonts w:ascii="Palatino Linotype" w:hAnsi="Palatino Linotype"/>
        </w:rPr>
        <w:t>onal bursts of persistent over-</w:t>
      </w:r>
      <w:r w:rsidRPr="00943BE6">
        <w:rPr>
          <w:rFonts w:ascii="Palatino Linotype" w:hAnsi="Palatino Linotype"/>
        </w:rPr>
        <w:t xml:space="preserve">or under-estimation, particularly in </w:t>
      </w:r>
      <w:r w:rsidR="00986A79" w:rsidRPr="00943BE6">
        <w:rPr>
          <w:rFonts w:ascii="Palatino Linotype" w:hAnsi="Palatino Linotype"/>
        </w:rPr>
        <w:t>the third c</w:t>
      </w:r>
      <w:r w:rsidRPr="00943BE6">
        <w:rPr>
          <w:rFonts w:ascii="Palatino Linotype" w:hAnsi="Palatino Linotype"/>
        </w:rPr>
        <w:t>onfiguration. These fluctuations may reflect overfitting to short-term patterns or failure to capture abrupt regime shifts in the time series. LSTM and Bi-LSTM show moderate stability, yet occasional error clustering indicates sensitivity to localized trends and transitions.</w:t>
      </w:r>
    </w:p>
    <w:p w14:paraId="50A8E50B" w14:textId="23B5073C" w:rsidR="00EA3969" w:rsidRPr="00943BE6" w:rsidRDefault="00EA3969" w:rsidP="001C7C89">
      <w:pPr>
        <w:spacing w:before="120" w:after="120" w:line="360" w:lineRule="auto"/>
        <w:ind w:firstLine="567"/>
        <w:rPr>
          <w:rFonts w:ascii="Palatino Linotype" w:hAnsi="Palatino Linotype"/>
        </w:rPr>
      </w:pPr>
      <w:r w:rsidRPr="00943BE6">
        <w:rPr>
          <w:rFonts w:ascii="Palatino Linotype" w:hAnsi="Palatino Linotype"/>
        </w:rPr>
        <w:t>The comparative smoothness and neutrality of GRU’s residuals over time provide compelling empirical support for its robustness and adaptability, especially under varying market dynamics and extended forecasting horizons. These findings, when taken together with the earlier analyses, reinforce the conclusion that GRU offers the most balanced trade-off between accuracy, stability, and temporal consistency among the evaluated models.</w:t>
      </w:r>
    </w:p>
    <w:p w14:paraId="2386B74A" w14:textId="4EF2B8D0" w:rsidR="00DA130A" w:rsidRPr="00943BE6" w:rsidRDefault="00DA130A" w:rsidP="001C7C89">
      <w:pPr>
        <w:spacing w:before="120" w:after="120" w:line="360" w:lineRule="auto"/>
        <w:ind w:firstLine="567"/>
        <w:rPr>
          <w:rFonts w:ascii="Palatino Linotype" w:hAnsi="Palatino Linotype"/>
        </w:rPr>
      </w:pPr>
      <w:r w:rsidRPr="00943BE6">
        <w:rPr>
          <w:rFonts w:ascii="Palatino Linotype" w:hAnsi="Palatino Linotype"/>
        </w:rPr>
        <w:lastRenderedPageBreak/>
        <w:t>Overall, the experimental findings challenge prior assumptions regarding the dominance of the Transformer model in long-term financial forecasting. In this study, GRU consistently outperformed all four other architectures across every forecasting horizon. These results underscore the importance of context-specific model selection and suggest that GRU offers an effective and computationally efficient alternative for multi-horizon stock price prediction.</w:t>
      </w:r>
    </w:p>
    <w:p w14:paraId="02324AD5" w14:textId="77777777" w:rsidR="00DA130A" w:rsidRPr="00943BE6" w:rsidRDefault="00DA130A" w:rsidP="004F5017">
      <w:pPr>
        <w:pStyle w:val="heading1"/>
        <w:tabs>
          <w:tab w:val="left" w:pos="567"/>
        </w:tabs>
        <w:spacing w:before="120" w:after="120" w:line="360" w:lineRule="auto"/>
        <w:ind w:left="0" w:firstLine="0"/>
        <w:rPr>
          <w:rFonts w:ascii="Palatino Linotype" w:hAnsi="Palatino Linotype"/>
          <w:szCs w:val="24"/>
        </w:rPr>
      </w:pPr>
      <w:r w:rsidRPr="00943BE6">
        <w:rPr>
          <w:rFonts w:ascii="Palatino Linotype" w:hAnsi="Palatino Linotype"/>
          <w:szCs w:val="24"/>
        </w:rPr>
        <w:t>Conclusion</w:t>
      </w:r>
    </w:p>
    <w:p w14:paraId="5E6D82A7" w14:textId="455FAD2A" w:rsidR="00DA130A" w:rsidRPr="00943BE6" w:rsidRDefault="00C404D3" w:rsidP="001C7C89">
      <w:pPr>
        <w:pStyle w:val="p1a"/>
        <w:spacing w:before="120" w:after="120" w:line="360" w:lineRule="auto"/>
        <w:rPr>
          <w:rFonts w:ascii="Palatino Linotype" w:hAnsi="Palatino Linotype"/>
        </w:rPr>
      </w:pPr>
      <w:r w:rsidRPr="00943BE6">
        <w:rPr>
          <w:rFonts w:ascii="Palatino Linotype" w:hAnsi="Palatino Linotype"/>
        </w:rPr>
        <w:t>This study establishes a comprehensive</w:t>
      </w:r>
      <w:r w:rsidR="00C62B17" w:rsidRPr="00943BE6">
        <w:rPr>
          <w:rFonts w:ascii="Palatino Linotype" w:hAnsi="Palatino Linotype"/>
        </w:rPr>
        <w:t xml:space="preserve"> benchmark for multi-horizon forecasting of Bitcoin price by comparing five representative deep learning architectures (LSTM, GRU, Bi-LSTM, Transformer, 1D-CNN) systematically. The obtained results show that the GRU system is superior to the other systems in predictive ability, model stability, and computational efficiency at all forecast horizons. Although the LSTM and Bi-LSTM can achieve good prediction results in the short term, their performance decreases with an increasing prediction horizon. </w:t>
      </w:r>
      <w:r w:rsidR="00C26E05" w:rsidRPr="00943BE6">
        <w:rPr>
          <w:rFonts w:ascii="Palatino Linotype" w:hAnsi="Palatino Linotype"/>
        </w:rPr>
        <w:t>The transformer</w:t>
      </w:r>
      <w:r w:rsidR="00C62B17" w:rsidRPr="00943BE6">
        <w:rPr>
          <w:rFonts w:ascii="Palatino Linotype" w:hAnsi="Palatino Linotype"/>
        </w:rPr>
        <w:t xml:space="preserve"> model did not perform better than anticipated, indicating that the model may have limitations on very volatile financial time series like Bitcoin. </w:t>
      </w:r>
      <w:r w:rsidR="00260716" w:rsidRPr="00943BE6">
        <w:rPr>
          <w:rFonts w:ascii="Palatino Linotype" w:hAnsi="Palatino Linotype"/>
        </w:rPr>
        <w:t>Despite these results, the research is limited by its exclusive reliance on historical price data and the use of shor</w:t>
      </w:r>
      <w:r w:rsidR="00AC2C53" w:rsidRPr="00943BE6">
        <w:rPr>
          <w:rFonts w:ascii="Palatino Linotype" w:hAnsi="Palatino Linotype"/>
        </w:rPr>
        <w:t>t lookback windows (10–21 days),</w:t>
      </w:r>
      <w:r w:rsidR="00260716" w:rsidRPr="00943BE6">
        <w:rPr>
          <w:rFonts w:ascii="Palatino Linotype" w:hAnsi="Palatino Linotype"/>
        </w:rPr>
        <w:t xml:space="preserve"> </w:t>
      </w:r>
      <w:r w:rsidR="00AC2C53" w:rsidRPr="00943BE6">
        <w:rPr>
          <w:rFonts w:ascii="Palatino Linotype" w:hAnsi="Palatino Linotype"/>
        </w:rPr>
        <w:t>which</w:t>
      </w:r>
      <w:r w:rsidR="00260716" w:rsidRPr="00943BE6">
        <w:rPr>
          <w:rFonts w:ascii="Palatino Linotype" w:hAnsi="Palatino Linotype"/>
        </w:rPr>
        <w:t xml:space="preserve"> may restrict attention-based models </w:t>
      </w:r>
      <w:r w:rsidR="00D15797" w:rsidRPr="00943BE6">
        <w:rPr>
          <w:rFonts w:ascii="Palatino Linotype" w:hAnsi="Palatino Linotype"/>
        </w:rPr>
        <w:t>from capturing</w:t>
      </w:r>
      <w:r w:rsidR="00260716" w:rsidRPr="00943BE6">
        <w:rPr>
          <w:rFonts w:ascii="Palatino Linotype" w:hAnsi="Palatino Linotype"/>
        </w:rPr>
        <w:t xml:space="preserve"> long-range dependencies effectively. </w:t>
      </w:r>
      <w:r w:rsidR="00D15797" w:rsidRPr="00943BE6">
        <w:rPr>
          <w:rFonts w:ascii="Palatino Linotype" w:hAnsi="Palatino Linotype"/>
        </w:rPr>
        <w:t>F</w:t>
      </w:r>
      <w:r w:rsidR="00C62B17" w:rsidRPr="00943BE6">
        <w:rPr>
          <w:rFonts w:ascii="Palatino Linotype" w:hAnsi="Palatino Linotype"/>
        </w:rPr>
        <w:t xml:space="preserve">uture work </w:t>
      </w:r>
      <w:r w:rsidR="00D15797" w:rsidRPr="00943BE6">
        <w:rPr>
          <w:rFonts w:ascii="Palatino Linotype" w:hAnsi="Palatino Linotype"/>
        </w:rPr>
        <w:t xml:space="preserve">should therefore </w:t>
      </w:r>
      <w:r w:rsidR="00C62B17" w:rsidRPr="00943BE6">
        <w:rPr>
          <w:rFonts w:ascii="Palatino Linotype" w:hAnsi="Palatino Linotype"/>
        </w:rPr>
        <w:t xml:space="preserve">explore hybrid </w:t>
      </w:r>
      <w:r w:rsidR="00D15797" w:rsidRPr="00943BE6">
        <w:rPr>
          <w:rFonts w:ascii="Palatino Linotype" w:hAnsi="Palatino Linotype"/>
        </w:rPr>
        <w:t>architectures that</w:t>
      </w:r>
      <w:r w:rsidR="00C62B17" w:rsidRPr="00943BE6">
        <w:rPr>
          <w:rFonts w:ascii="Palatino Linotype" w:hAnsi="Palatino Linotype"/>
        </w:rPr>
        <w:t xml:space="preserve"> integrate </w:t>
      </w:r>
      <w:r w:rsidR="00D15797" w:rsidRPr="00943BE6">
        <w:rPr>
          <w:rFonts w:ascii="Palatino Linotype" w:hAnsi="Palatino Linotype"/>
        </w:rPr>
        <w:t>recursive and attention mechanisms, while incorporating alternative data sources such as blockchain metrics and market sentiment to enhance robustness</w:t>
      </w:r>
      <w:r w:rsidR="00C62B17" w:rsidRPr="00943BE6">
        <w:rPr>
          <w:rFonts w:ascii="Palatino Linotype" w:hAnsi="Palatino Linotype"/>
        </w:rPr>
        <w:t xml:space="preserve">. </w:t>
      </w:r>
      <w:r w:rsidR="00D15797" w:rsidRPr="00943BE6">
        <w:rPr>
          <w:rFonts w:ascii="Palatino Linotype" w:hAnsi="Palatino Linotype"/>
        </w:rPr>
        <w:t>Additionally</w:t>
      </w:r>
      <w:r w:rsidR="00C62B17" w:rsidRPr="00943BE6">
        <w:rPr>
          <w:rFonts w:ascii="Palatino Linotype" w:hAnsi="Palatino Linotype"/>
        </w:rPr>
        <w:t xml:space="preserve">, </w:t>
      </w:r>
      <w:r w:rsidR="00D15797" w:rsidRPr="00943BE6">
        <w:rPr>
          <w:rFonts w:ascii="Palatino Linotype" w:hAnsi="Palatino Linotype"/>
        </w:rPr>
        <w:t>applying</w:t>
      </w:r>
      <w:r w:rsidR="00C62B17" w:rsidRPr="00943BE6">
        <w:rPr>
          <w:rFonts w:ascii="Palatino Linotype" w:hAnsi="Palatino Linotype"/>
        </w:rPr>
        <w:t xml:space="preserve"> explainable AI </w:t>
      </w:r>
      <w:r w:rsidR="00D15797" w:rsidRPr="00943BE6">
        <w:rPr>
          <w:rFonts w:ascii="Palatino Linotype" w:hAnsi="Palatino Linotype"/>
        </w:rPr>
        <w:t xml:space="preserve">(XAI) </w:t>
      </w:r>
      <w:r w:rsidR="00C62B17" w:rsidRPr="00943BE6">
        <w:rPr>
          <w:rFonts w:ascii="Palatino Linotype" w:hAnsi="Palatino Linotype"/>
        </w:rPr>
        <w:t xml:space="preserve">approaches </w:t>
      </w:r>
      <w:r w:rsidR="00D15797" w:rsidRPr="00943BE6">
        <w:rPr>
          <w:rFonts w:ascii="Palatino Linotype" w:hAnsi="Palatino Linotype"/>
        </w:rPr>
        <w:t>could</w:t>
      </w:r>
      <w:r w:rsidR="00C62B17" w:rsidRPr="00943BE6">
        <w:rPr>
          <w:rFonts w:ascii="Palatino Linotype" w:hAnsi="Palatino Linotype"/>
        </w:rPr>
        <w:t xml:space="preserve"> gain further insights </w:t>
      </w:r>
      <w:r w:rsidR="00C26E05" w:rsidRPr="00943BE6">
        <w:rPr>
          <w:rFonts w:ascii="Palatino Linotype" w:hAnsi="Palatino Linotype"/>
        </w:rPr>
        <w:t>into</w:t>
      </w:r>
      <w:r w:rsidR="00C62B17" w:rsidRPr="00943BE6">
        <w:rPr>
          <w:rFonts w:ascii="Palatino Linotype" w:hAnsi="Palatino Linotype"/>
        </w:rPr>
        <w:t xml:space="preserve"> how these models actually learn and interpret cryptocurrency market patterns, leading towards more transparent and </w:t>
      </w:r>
      <w:r w:rsidR="00C26E05" w:rsidRPr="00943BE6">
        <w:rPr>
          <w:rFonts w:ascii="Palatino Linotype" w:hAnsi="Palatino Linotype"/>
        </w:rPr>
        <w:t>trustworthy</w:t>
      </w:r>
      <w:r w:rsidR="00C62B17" w:rsidRPr="00943BE6">
        <w:rPr>
          <w:rFonts w:ascii="Palatino Linotype" w:hAnsi="Palatino Linotype"/>
        </w:rPr>
        <w:t xml:space="preserve"> forecasting systems.</w:t>
      </w:r>
    </w:p>
    <w:p w14:paraId="5FF0DF2C" w14:textId="77777777" w:rsidR="007E4E8F" w:rsidRPr="00943BE6" w:rsidRDefault="007E4E8F" w:rsidP="003D633B">
      <w:pPr>
        <w:pStyle w:val="papersubtitle"/>
        <w:spacing w:after="0"/>
      </w:pPr>
      <w:r w:rsidRPr="00943BE6">
        <w:t>Acknowledgement</w:t>
      </w:r>
    </w:p>
    <w:p w14:paraId="13452D8B" w14:textId="57325720" w:rsidR="007E4E8F" w:rsidRPr="00943BE6" w:rsidRDefault="00E430A2" w:rsidP="007073A1">
      <w:pPr>
        <w:spacing w:before="120"/>
        <w:ind w:firstLine="0"/>
        <w:jc w:val="center"/>
      </w:pPr>
      <w:r w:rsidRPr="00943BE6">
        <w:t>This research was funded by Hue University, Vietnam</w:t>
      </w:r>
      <w:r w:rsidR="00C26E05" w:rsidRPr="00943BE6">
        <w:t>,</w:t>
      </w:r>
      <w:r w:rsidRPr="00943BE6">
        <w:t xml:space="preserve"> under the research project code DHH2025-06-164.</w:t>
      </w:r>
    </w:p>
    <w:p w14:paraId="2A3A2021" w14:textId="13CD17E3" w:rsidR="00DA130A" w:rsidRPr="00943BE6" w:rsidRDefault="00DA130A" w:rsidP="00636F76">
      <w:pPr>
        <w:pStyle w:val="heading1"/>
        <w:numPr>
          <w:ilvl w:val="0"/>
          <w:numId w:val="0"/>
        </w:numPr>
        <w:spacing w:before="120" w:after="120" w:line="360" w:lineRule="auto"/>
        <w:jc w:val="center"/>
        <w:rPr>
          <w:rFonts w:ascii="Palatino Linotype" w:hAnsi="Palatino Linotype"/>
          <w:szCs w:val="24"/>
        </w:rPr>
      </w:pPr>
      <w:r w:rsidRPr="00943BE6">
        <w:rPr>
          <w:rFonts w:ascii="Palatino Linotype" w:hAnsi="Palatino Linotype"/>
          <w:szCs w:val="24"/>
        </w:rPr>
        <w:t>References</w:t>
      </w:r>
    </w:p>
    <w:p w14:paraId="267C9837"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fldChar w:fldCharType="begin"/>
      </w:r>
      <w:r w:rsidRPr="00943BE6">
        <w:rPr>
          <w:rFonts w:ascii="Palatino Linotype" w:hAnsi="Palatino Linotype"/>
        </w:rPr>
        <w:instrText xml:space="preserve"> ADDIN ZOTERO_BIBL {"uncited":[],"omitted":[],"custom":[]} CSL_BIBLIOGRAPHY </w:instrText>
      </w:r>
      <w:r w:rsidRPr="00943BE6">
        <w:rPr>
          <w:rFonts w:ascii="Palatino Linotype" w:hAnsi="Palatino Linotype"/>
        </w:rPr>
        <w:fldChar w:fldCharType="separate"/>
      </w:r>
      <w:r w:rsidRPr="00943BE6">
        <w:rPr>
          <w:rFonts w:ascii="Palatino Linotype" w:hAnsi="Palatino Linotype"/>
        </w:rPr>
        <w:t>[1]</w:t>
      </w:r>
      <w:r w:rsidRPr="00943BE6">
        <w:rPr>
          <w:rFonts w:ascii="Palatino Linotype" w:hAnsi="Palatino Linotype"/>
        </w:rPr>
        <w:tab/>
        <w:t>H. Sebastião and P. Godinho, “Forecasting and trading cryptocurrencies with machine learning under changing market conditions,” Financ Innov, vol. 7, no. 1, Jan. 2021, doi: 10.1186/s40854-020-00217-x.</w:t>
      </w:r>
    </w:p>
    <w:p w14:paraId="14E843AF"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[2]</w:t>
      </w:r>
      <w:r w:rsidRPr="00943BE6">
        <w:rPr>
          <w:rFonts w:ascii="Palatino Linotype" w:hAnsi="Palatino Linotype"/>
        </w:rPr>
        <w:tab/>
        <w:t>S. Corbet, A. Meegan, C. Larkin, B. Lucey, and L. Yarovaya, “Exploring the dynamic relationships between cryptocurrencies and other financial assets,” Economics letters, vol. 165, pp. 28–34, 2018.</w:t>
      </w:r>
    </w:p>
    <w:p w14:paraId="2D7951EA"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[3]</w:t>
      </w:r>
      <w:r w:rsidRPr="00943BE6">
        <w:rPr>
          <w:rFonts w:ascii="Palatino Linotype" w:hAnsi="Palatino Linotype"/>
        </w:rPr>
        <w:tab/>
        <w:t>S. B. Akbar, K. Thanupillai, and V. Govindarajan, “Forecasting Bitcoin price using time opinion mining and bi-directional GRU,” IFS, vol. 42, no. 3, pp. 1825–1833, Feb. 2022, doi: 10.3233/jifs-211217.</w:t>
      </w:r>
    </w:p>
    <w:p w14:paraId="22484079"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[4]</w:t>
      </w:r>
      <w:r w:rsidRPr="00943BE6">
        <w:rPr>
          <w:rFonts w:ascii="Palatino Linotype" w:hAnsi="Palatino Linotype"/>
        </w:rPr>
        <w:tab/>
        <w:t>P. Katsiampa, “Volatility estimation for Bitcoin: A comparison of GARCH models,” Economics letters, vol. 158, pp. 3–6, 2017.</w:t>
      </w:r>
    </w:p>
    <w:p w14:paraId="48DE19DA"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lastRenderedPageBreak/>
        <w:t>[5]</w:t>
      </w:r>
      <w:r w:rsidRPr="00943BE6">
        <w:rPr>
          <w:rFonts w:ascii="Palatino Linotype" w:hAnsi="Palatino Linotype"/>
        </w:rPr>
        <w:tab/>
        <w:t>S. Siami-Namini, N. Tavakoli, and A. S. Namin, “A Comparative Analysis of Forecasting Financial Time Series Using ARIMA, LSTM, and BiLSTM,” Nov. 21, 2019, arXiv: arXiv:1911.09512. doi: 10.48550/arXiv.1911.09512.</w:t>
      </w:r>
    </w:p>
    <w:p w14:paraId="0B92AD5F"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[6]</w:t>
      </w:r>
      <w:r w:rsidRPr="00943BE6">
        <w:rPr>
          <w:rFonts w:ascii="Palatino Linotype" w:hAnsi="Palatino Linotype"/>
        </w:rPr>
        <w:tab/>
        <w:t>Q. Lin, “Price Prediction of Bitcoin Using LSTM Neural Network,” BCP Business &amp; Management, vol. 38, pp. 2738–2744, Mar. 2023, doi: 10.54691/bcpbm.v38i.4183.</w:t>
      </w:r>
    </w:p>
    <w:p w14:paraId="1511BB94"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[7]</w:t>
      </w:r>
      <w:r w:rsidRPr="00943BE6">
        <w:rPr>
          <w:rFonts w:ascii="Palatino Linotype" w:hAnsi="Palatino Linotype"/>
        </w:rPr>
        <w:tab/>
        <w:t>J. F. Diaz and J.-H. Chen, “Testing for long-memory and chaos in the returns of currency exchange-traded notes (ETNs),” Journal of applied finance and banking, vol. 7, no. 4, p. 15, 2017.</w:t>
      </w:r>
    </w:p>
    <w:p w14:paraId="6455DABB"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[8]</w:t>
      </w:r>
      <w:r w:rsidRPr="00943BE6">
        <w:rPr>
          <w:rFonts w:ascii="Palatino Linotype" w:hAnsi="Palatino Linotype"/>
        </w:rPr>
        <w:tab/>
        <w:t>O. B. Sezer, M. U. Gudelek, and A. M. Ozbayoglu, “Financial time series forecasting with deep learning: A systematic literature review: 2005–2019,” Applied soft computing, vol. 90, p. 106181, 2020.</w:t>
      </w:r>
    </w:p>
    <w:p w14:paraId="4CB51A17"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[9]</w:t>
      </w:r>
      <w:r w:rsidRPr="00943BE6">
        <w:rPr>
          <w:rFonts w:ascii="Palatino Linotype" w:hAnsi="Palatino Linotype"/>
        </w:rPr>
        <w:tab/>
        <w:t>T. K. Samson, “Comparative analysis of machine learning algorithms for daily cryptocurrency price prediction,” Inf. Dyn. Appl, vol. 3, no. 1, pp. 64–76, 2024.</w:t>
      </w:r>
    </w:p>
    <w:p w14:paraId="5AB6BC3F"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[10]</w:t>
      </w:r>
      <w:r w:rsidRPr="00943BE6">
        <w:rPr>
          <w:rFonts w:ascii="Palatino Linotype" w:hAnsi="Palatino Linotype"/>
        </w:rPr>
        <w:tab/>
        <w:t>A. Dutta, S. Kumar, and M. Basu, “A gated recurrent unit approach to bitcoin price prediction,” Journal of risk and financial management, vol. 13, no. 2, p. 23, 2020.</w:t>
      </w:r>
    </w:p>
    <w:p w14:paraId="2F609933"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[11]</w:t>
      </w:r>
      <w:r w:rsidRPr="00943BE6">
        <w:rPr>
          <w:rFonts w:ascii="Palatino Linotype" w:hAnsi="Palatino Linotype"/>
        </w:rPr>
        <w:tab/>
        <w:t>S. Hochreiter and J. Schmidhuber, “Long short-term memory,” Neural computation, vol. 9, no. 8, pp. 1735–1780, 1997.</w:t>
      </w:r>
    </w:p>
    <w:p w14:paraId="27E20AFA"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[12]</w:t>
      </w:r>
      <w:r w:rsidRPr="00943BE6">
        <w:rPr>
          <w:rFonts w:ascii="Palatino Linotype" w:hAnsi="Palatino Linotype"/>
        </w:rPr>
        <w:tab/>
        <w:t>P. Singh, P. Goel, and R. Bajaj, “Predictive Analysis of Bitcoin Prices Using Bidirectional Long Short-Term Memory Networks,” in 2024 3rd International Conference on Computational Modelling, Simulation and Optimization (ICCMSO), June 2024, pp. 114–119. doi: 10.1109/ICCMSO61761.2024.00035.</w:t>
      </w:r>
    </w:p>
    <w:p w14:paraId="25CBDD4F"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[13]</w:t>
      </w:r>
      <w:r w:rsidRPr="00943BE6">
        <w:rPr>
          <w:rFonts w:ascii="Palatino Linotype" w:hAnsi="Palatino Linotype"/>
        </w:rPr>
        <w:tab/>
        <w:t>U. B. Mahadevaswamy and P. Swathi, “Sentiment analysis using bidirectional LSTM network,” Procedia Computer Science, vol. 218, pp. 45–56, 2023.</w:t>
      </w:r>
    </w:p>
    <w:p w14:paraId="18F5D3ED"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[14]</w:t>
      </w:r>
      <w:r w:rsidRPr="00943BE6">
        <w:rPr>
          <w:rFonts w:ascii="Palatino Linotype" w:hAnsi="Palatino Linotype"/>
        </w:rPr>
        <w:tab/>
        <w:t>K. Cho et al., “Learning Phrase Representations using RNN Encoder-Decoder for Statistical Machine Translation,” Sept. 03, 2014, arXiv: arXiv:1406.1078. doi: 10.48550/arXiv.1406.1078.</w:t>
      </w:r>
    </w:p>
    <w:p w14:paraId="29CFF5BA"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[15]</w:t>
      </w:r>
      <w:r w:rsidRPr="00943BE6">
        <w:rPr>
          <w:rFonts w:ascii="Palatino Linotype" w:hAnsi="Palatino Linotype"/>
        </w:rPr>
        <w:tab/>
        <w:t>A. Bouteska, M. Z. Abedin, P. Hajek, and K. Yuan, “Cryptocurrency price forecasting–a comparative analysis of ensemble learning and deep learning methods,” International Review of Financial Analysis, vol. 92, p. 103055, 2024.</w:t>
      </w:r>
    </w:p>
    <w:p w14:paraId="2A12B71D"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[16]</w:t>
      </w:r>
      <w:r w:rsidRPr="00943BE6">
        <w:rPr>
          <w:rFonts w:ascii="Palatino Linotype" w:hAnsi="Palatino Linotype"/>
        </w:rPr>
        <w:tab/>
        <w:t>Y. Li and W. Dai, “Bitcoin price forecasting method based on CNN‐LSTM hybrid neural network model,” The Journal of Engineering, vol. 2020, no. 13, pp. 344–347, July 2020, doi: 10.1049/joe.2019.1203.</w:t>
      </w:r>
    </w:p>
    <w:p w14:paraId="2B07A582"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[17]</w:t>
      </w:r>
      <w:r w:rsidRPr="00943BE6">
        <w:rPr>
          <w:rFonts w:ascii="Palatino Linotype" w:hAnsi="Palatino Linotype"/>
        </w:rPr>
        <w:tab/>
        <w:t>I. E. Livieris, E. Pintelas, and P. Pintelas, “A CNN–LSTM model for gold price time-series forecasting,” Neural Comput &amp; Applic, vol. 32, no. 23, pp. 17351–17360, Dec. 2020, doi: 10.1007/s00521-020-04867-x.</w:t>
      </w:r>
    </w:p>
    <w:p w14:paraId="5F653B20" w14:textId="6ACBF342"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[18]</w:t>
      </w:r>
      <w:r w:rsidRPr="00943BE6">
        <w:rPr>
          <w:rFonts w:ascii="Palatino Linotype" w:hAnsi="Palatino Linotype"/>
        </w:rPr>
        <w:tab/>
      </w:r>
      <w:r w:rsidR="00881738" w:rsidRPr="00943BE6">
        <w:rPr>
          <w:rFonts w:ascii="Palatino Linotype" w:hAnsi="Palatino Linotype"/>
        </w:rPr>
        <w:t>A. Vaswani, N. Shazeer, N. Parmar, J. Uszkoreit, L. Jones, AN. Gomez, L. Kaiser, I. Polosukhin</w:t>
      </w:r>
      <w:r w:rsidR="0095145F" w:rsidRPr="00943BE6">
        <w:rPr>
          <w:rFonts w:ascii="Palatino Linotype" w:hAnsi="Palatino Linotype"/>
        </w:rPr>
        <w:t xml:space="preserve"> </w:t>
      </w:r>
      <w:r w:rsidRPr="00943BE6">
        <w:rPr>
          <w:rFonts w:ascii="Palatino Linotype" w:hAnsi="Palatino Linotype"/>
        </w:rPr>
        <w:t>“Attention is all you need,” Advances in neural information processing systems, vol. 30, p. I, 2017.</w:t>
      </w:r>
    </w:p>
    <w:p w14:paraId="499A1EBB"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lastRenderedPageBreak/>
        <w:t>[19]</w:t>
      </w:r>
      <w:r w:rsidRPr="00943BE6">
        <w:rPr>
          <w:rFonts w:ascii="Palatino Linotype" w:hAnsi="Palatino Linotype"/>
        </w:rPr>
        <w:tab/>
        <w:t>A. Zeng, M. Chen, L. Zhang, and Q. Xu, “Are transformers effective for time series forecasting?,” in Proceedings of the AAAI conference on artificial intelligence, 2023, pp. 11121–11128. Accessed: July 24, 2025. [Online]. Available: https://ojs.aaai.org/index.php/AAAI/article/view/26317</w:t>
      </w:r>
    </w:p>
    <w:p w14:paraId="3899B92F"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[20]</w:t>
      </w:r>
      <w:r w:rsidRPr="00943BE6">
        <w:rPr>
          <w:rFonts w:ascii="Palatino Linotype" w:hAnsi="Palatino Linotype"/>
        </w:rPr>
        <w:tab/>
        <w:t>K. Ł. Szydłowski and J. A. Chudziak, “Hidformer: Transformer-Style Neural Network in Stock Price Forecasting,” Dec. 27, 2024, arXiv: arXiv:2412.19932. doi: 10.48550/arXiv.2412.19932.</w:t>
      </w:r>
    </w:p>
    <w:p w14:paraId="7C622453" w14:textId="77777777" w:rsidR="00636F76" w:rsidRPr="00943BE6" w:rsidRDefault="00636F76" w:rsidP="00636F76">
      <w:pPr>
        <w:pStyle w:val="p1a"/>
        <w:spacing w:before="120" w:after="120" w:line="360" w:lineRule="auto"/>
        <w:rPr>
          <w:rFonts w:ascii="Palatino Linotype" w:hAnsi="Palatino Linotype"/>
        </w:rPr>
      </w:pPr>
      <w:r w:rsidRPr="00943BE6">
        <w:rPr>
          <w:rFonts w:ascii="Palatino Linotype" w:hAnsi="Palatino Linotype"/>
        </w:rPr>
        <w:t>[21]</w:t>
      </w:r>
      <w:r w:rsidRPr="00943BE6">
        <w:rPr>
          <w:rFonts w:ascii="Palatino Linotype" w:hAnsi="Palatino Linotype"/>
        </w:rPr>
        <w:tab/>
        <w:t>F. Barez, P. Bilokon, A. Gervais, and N. Lisitsyn, “Exploring the Advantages of Transformers for High-Frequency Trading,” Feb. 20, 2023, arXiv: arXiv:2302.13850. doi: 10.48550/arXiv.2302.13850.</w:t>
      </w:r>
    </w:p>
    <w:p w14:paraId="3E1A1B2F" w14:textId="06A6F93B" w:rsidR="00636F76" w:rsidRPr="00636F76" w:rsidRDefault="00636F76" w:rsidP="00636F76">
      <w:pPr>
        <w:pStyle w:val="p1a"/>
        <w:spacing w:before="120" w:after="120" w:line="360" w:lineRule="auto"/>
        <w:rPr>
          <w:rFonts w:ascii="Palatino Linotype" w:hAnsi="Palatino Linotype"/>
        </w:rPr>
      </w:pPr>
      <w:r w:rsidRPr="00943BE6">
        <w:rPr>
          <w:rFonts w:ascii="Palatino Linotype" w:hAnsi="Palatino Linotype"/>
        </w:rPr>
        <w:fldChar w:fldCharType="end"/>
      </w:r>
    </w:p>
    <w:sectPr w:rsidR="00636F76" w:rsidRPr="00636F76" w:rsidSect="005D26A9">
      <w:headerReference w:type="even" r:id="rId21"/>
      <w:headerReference w:type="default" r:id="rId22"/>
      <w:footnotePr>
        <w:numFmt w:val="chicago"/>
      </w:footnotePr>
      <w:pgSz w:w="11624" w:h="16840" w:code="9"/>
      <w:pgMar w:top="851" w:right="1134" w:bottom="851" w:left="1134" w:header="849" w:footer="2325" w:gutter="0"/>
      <w:cols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B901F" w14:textId="77777777" w:rsidR="006209B0" w:rsidRDefault="006209B0">
      <w:pPr>
        <w:spacing w:line="240" w:lineRule="auto"/>
      </w:pPr>
      <w:r>
        <w:separator/>
      </w:r>
    </w:p>
  </w:endnote>
  <w:endnote w:type="continuationSeparator" w:id="0">
    <w:p w14:paraId="5C3731CD" w14:textId="77777777" w:rsidR="006209B0" w:rsidRDefault="006209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70E8D" w14:textId="77777777" w:rsidR="006209B0" w:rsidRDefault="006209B0">
      <w:pPr>
        <w:spacing w:line="240" w:lineRule="auto"/>
      </w:pPr>
      <w:r>
        <w:separator/>
      </w:r>
    </w:p>
  </w:footnote>
  <w:footnote w:type="continuationSeparator" w:id="0">
    <w:p w14:paraId="2480FAC9" w14:textId="77777777" w:rsidR="006209B0" w:rsidRDefault="006209B0">
      <w:pPr>
        <w:spacing w:line="240" w:lineRule="auto"/>
      </w:pPr>
      <w:r>
        <w:continuationSeparator/>
      </w:r>
    </w:p>
  </w:footnote>
  <w:footnote w:id="1">
    <w:p w14:paraId="2C0EDA6B" w14:textId="63C11895" w:rsidR="007352F8" w:rsidRPr="005939FF" w:rsidRDefault="007352F8" w:rsidP="00AC403B">
      <w:pPr>
        <w:pStyle w:val="FootnoteText"/>
        <w:rPr>
          <w:rFonts w:ascii="Palatino Linotype" w:hAnsi="Palatino Linotype"/>
        </w:rPr>
      </w:pPr>
      <w:r w:rsidRPr="005939FF">
        <w:rPr>
          <w:rStyle w:val="FootnoteReference"/>
          <w:rFonts w:ascii="Palatino Linotype" w:hAnsi="Palatino Linotype"/>
        </w:rPr>
        <w:footnoteRef/>
      </w:r>
      <w:r w:rsidRPr="005939FF">
        <w:rPr>
          <w:rFonts w:ascii="Palatino Linotype" w:hAnsi="Palatino Linotype"/>
        </w:rPr>
        <w:t xml:space="preserve"> </w:t>
      </w:r>
      <w:r w:rsidRPr="005939FF">
        <w:rPr>
          <w:rFonts w:ascii="Palatino Linotype" w:hAnsi="Palatino Linotype"/>
          <w:i/>
          <w:iCs/>
        </w:rPr>
        <w:t>Co</w:t>
      </w:r>
      <w:r w:rsidR="0085441D">
        <w:rPr>
          <w:rFonts w:ascii="Palatino Linotype" w:hAnsi="Palatino Linotype"/>
          <w:i/>
          <w:iCs/>
        </w:rPr>
        <w:t>r</w:t>
      </w:r>
      <w:r w:rsidRPr="005939FF">
        <w:rPr>
          <w:rFonts w:ascii="Palatino Linotype" w:hAnsi="Palatino Linotype"/>
          <w:i/>
          <w:iCs/>
        </w:rPr>
        <w:t xml:space="preserve">responding: </w:t>
      </w:r>
      <w:r>
        <w:rPr>
          <w:rFonts w:ascii="Palatino Linotype" w:eastAsia="Calibri" w:hAnsi="Palatino Linotype"/>
          <w:i/>
          <w:iCs/>
        </w:rPr>
        <w:t>dthphuong</w:t>
      </w:r>
      <w:r w:rsidRPr="005939FF">
        <w:rPr>
          <w:rFonts w:ascii="Palatino Linotype" w:eastAsia="Calibri" w:hAnsi="Palatino Linotype"/>
          <w:i/>
          <w:iCs/>
        </w:rPr>
        <w:t>@hueuni.edu.vn</w:t>
      </w:r>
      <w:r>
        <w:rPr>
          <w:rFonts w:ascii="Palatino Linotype" w:eastAsia="Calibri" w:hAnsi="Palatino Linotype"/>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5F06" w14:textId="77777777" w:rsidR="007352F8" w:rsidRDefault="007352F8" w:rsidP="00D53A0D">
    <w:pPr>
      <w:pStyle w:val="Header"/>
    </w:pPr>
    <w:r>
      <w:fldChar w:fldCharType="begin"/>
    </w:r>
    <w:r>
      <w:instrText>PAGE   \* MERGEFORMAT</w:instrText>
    </w:r>
    <w:r>
      <w:fldChar w:fldCharType="separate"/>
    </w:r>
    <w:r>
      <w:rPr>
        <w:noProof/>
      </w:rPr>
      <w:t>18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893F" w14:textId="594A6008" w:rsidR="007352F8" w:rsidRDefault="007352F8" w:rsidP="00D53A0D">
    <w:pPr>
      <w:pStyle w:val="Header"/>
      <w:jc w:val="right"/>
    </w:pPr>
    <w:r>
      <w:fldChar w:fldCharType="begin"/>
    </w:r>
    <w:r>
      <w:instrText>PAGE   \* MERGEFORMAT</w:instrText>
    </w:r>
    <w:r>
      <w:fldChar w:fldCharType="separate"/>
    </w:r>
    <w:r w:rsidR="00D15797">
      <w:rPr>
        <w:noProof/>
      </w:rPr>
      <w:t>13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1C27F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7717AD"/>
    <w:multiLevelType w:val="hybridMultilevel"/>
    <w:tmpl w:val="83748FC8"/>
    <w:lvl w:ilvl="0" w:tplc="27569C30">
      <w:start w:val="1"/>
      <w:numFmt w:val="decimal"/>
      <w:lvlText w:val="%1."/>
      <w:lvlJc w:val="left"/>
      <w:pPr>
        <w:ind w:left="1080" w:hanging="360"/>
      </w:pPr>
      <w:rPr>
        <w:rFonts w:hint="default"/>
      </w:rPr>
    </w:lvl>
    <w:lvl w:ilvl="1" w:tplc="4D52C646">
      <w:numFmt w:val="bullet"/>
      <w:lvlText w:val="•"/>
      <w:lvlJc w:val="left"/>
      <w:pPr>
        <w:ind w:left="1800" w:hanging="360"/>
      </w:pPr>
      <w:rPr>
        <w:rFonts w:ascii="Times New Roman" w:eastAsia="Calibr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CC3063"/>
    <w:multiLevelType w:val="hybridMultilevel"/>
    <w:tmpl w:val="08286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115567"/>
    <w:multiLevelType w:val="hybridMultilevel"/>
    <w:tmpl w:val="E5162798"/>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4" w15:restartNumberingAfterBreak="0">
    <w:nsid w:val="2AD273F5"/>
    <w:multiLevelType w:val="hybridMultilevel"/>
    <w:tmpl w:val="B2EA6356"/>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5" w15:restartNumberingAfterBreak="0">
    <w:nsid w:val="375C0845"/>
    <w:multiLevelType w:val="hybridMultilevel"/>
    <w:tmpl w:val="A82A0694"/>
    <w:lvl w:ilvl="0" w:tplc="04090001">
      <w:start w:val="1"/>
      <w:numFmt w:val="bullet"/>
      <w:lvlText w:val=""/>
      <w:lvlJc w:val="left"/>
      <w:pPr>
        <w:ind w:left="947" w:hanging="360"/>
      </w:pPr>
      <w:rPr>
        <w:rFonts w:ascii="Symbol" w:hAnsi="Symbol" w:hint="default"/>
      </w:rPr>
    </w:lvl>
    <w:lvl w:ilvl="1" w:tplc="04090003">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6" w15:restartNumberingAfterBreak="0">
    <w:nsid w:val="3F0B4DC1"/>
    <w:multiLevelType w:val="hybridMultilevel"/>
    <w:tmpl w:val="F2E4A998"/>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7" w15:restartNumberingAfterBreak="0">
    <w:nsid w:val="43061157"/>
    <w:multiLevelType w:val="hybridMultilevel"/>
    <w:tmpl w:val="C34001C8"/>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8" w15:restartNumberingAfterBreak="0">
    <w:nsid w:val="62954203"/>
    <w:multiLevelType w:val="hybridMultilevel"/>
    <w:tmpl w:val="845C3652"/>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9" w15:restartNumberingAfterBreak="0">
    <w:nsid w:val="666D3F14"/>
    <w:multiLevelType w:val="hybridMultilevel"/>
    <w:tmpl w:val="52ACF1F8"/>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0" w15:restartNumberingAfterBreak="0">
    <w:nsid w:val="688450CB"/>
    <w:multiLevelType w:val="hybridMultilevel"/>
    <w:tmpl w:val="66D4463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69162BE8"/>
    <w:multiLevelType w:val="hybridMultilevel"/>
    <w:tmpl w:val="49E68D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BB13103"/>
    <w:multiLevelType w:val="hybridMultilevel"/>
    <w:tmpl w:val="C346E63E"/>
    <w:lvl w:ilvl="0" w:tplc="FFFFFFFF">
      <w:start w:val="1"/>
      <w:numFmt w:val="bullet"/>
      <w:lvlText w:val=""/>
      <w:lvlJc w:val="left"/>
      <w:pPr>
        <w:ind w:left="947" w:hanging="360"/>
      </w:pPr>
      <w:rPr>
        <w:rFonts w:ascii="Symbol" w:hAnsi="Symbol" w:hint="default"/>
      </w:rPr>
    </w:lvl>
    <w:lvl w:ilvl="1" w:tplc="04090001">
      <w:start w:val="1"/>
      <w:numFmt w:val="bullet"/>
      <w:lvlText w:val=""/>
      <w:lvlJc w:val="left"/>
      <w:pPr>
        <w:ind w:left="1667" w:hanging="360"/>
      </w:pPr>
      <w:rPr>
        <w:rFonts w:ascii="Symbol" w:hAnsi="Symbol"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3"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EBC4AEA"/>
    <w:multiLevelType w:val="hybridMultilevel"/>
    <w:tmpl w:val="82707DC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359046000">
    <w:abstractNumId w:val="13"/>
  </w:num>
  <w:num w:numId="2" w16cid:durableId="2138256600">
    <w:abstractNumId w:val="0"/>
  </w:num>
  <w:num w:numId="3" w16cid:durableId="128523929">
    <w:abstractNumId w:val="10"/>
  </w:num>
  <w:num w:numId="4" w16cid:durableId="160439264">
    <w:abstractNumId w:val="14"/>
  </w:num>
  <w:num w:numId="5" w16cid:durableId="703020612">
    <w:abstractNumId w:val="9"/>
  </w:num>
  <w:num w:numId="6" w16cid:durableId="1597978724">
    <w:abstractNumId w:val="8"/>
  </w:num>
  <w:num w:numId="7" w16cid:durableId="502472443">
    <w:abstractNumId w:val="4"/>
  </w:num>
  <w:num w:numId="8" w16cid:durableId="787747220">
    <w:abstractNumId w:val="3"/>
  </w:num>
  <w:num w:numId="9" w16cid:durableId="623728752">
    <w:abstractNumId w:val="7"/>
  </w:num>
  <w:num w:numId="10" w16cid:durableId="99953657">
    <w:abstractNumId w:val="2"/>
  </w:num>
  <w:num w:numId="11" w16cid:durableId="1315374767">
    <w:abstractNumId w:val="6"/>
  </w:num>
  <w:num w:numId="12" w16cid:durableId="1144852336">
    <w:abstractNumId w:val="11"/>
  </w:num>
  <w:num w:numId="13" w16cid:durableId="1885824420">
    <w:abstractNumId w:val="5"/>
  </w:num>
  <w:num w:numId="14" w16cid:durableId="1319505468">
    <w:abstractNumId w:val="12"/>
  </w:num>
  <w:num w:numId="15" w16cid:durableId="2030837152">
    <w:abstractNumId w:val="13"/>
  </w:num>
  <w:num w:numId="16" w16cid:durableId="1284190616">
    <w:abstractNumId w:val="13"/>
  </w:num>
  <w:num w:numId="17" w16cid:durableId="1225333467">
    <w:abstractNumId w:val="13"/>
  </w:num>
  <w:num w:numId="18" w16cid:durableId="666130506">
    <w:abstractNumId w:val="13"/>
  </w:num>
  <w:num w:numId="19" w16cid:durableId="107236737">
    <w:abstractNumId w:val="13"/>
  </w:num>
  <w:num w:numId="20" w16cid:durableId="1950047710">
    <w:abstractNumId w:val="13"/>
  </w:num>
  <w:num w:numId="21" w16cid:durableId="1886406269">
    <w:abstractNumId w:val="13"/>
  </w:num>
  <w:num w:numId="22" w16cid:durableId="951206712">
    <w:abstractNumId w:val="13"/>
  </w:num>
  <w:num w:numId="23" w16cid:durableId="1089153031">
    <w:abstractNumId w:val="1"/>
  </w:num>
  <w:num w:numId="24" w16cid:durableId="8667158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130A"/>
    <w:rsid w:val="000241EA"/>
    <w:rsid w:val="00026FEA"/>
    <w:rsid w:val="0005371F"/>
    <w:rsid w:val="00053A8C"/>
    <w:rsid w:val="00053BC1"/>
    <w:rsid w:val="000561DB"/>
    <w:rsid w:val="00070441"/>
    <w:rsid w:val="00070688"/>
    <w:rsid w:val="00075319"/>
    <w:rsid w:val="00085F93"/>
    <w:rsid w:val="00086A9A"/>
    <w:rsid w:val="00095B5F"/>
    <w:rsid w:val="00096FA2"/>
    <w:rsid w:val="000A210D"/>
    <w:rsid w:val="000A2463"/>
    <w:rsid w:val="000B43CA"/>
    <w:rsid w:val="000C3E66"/>
    <w:rsid w:val="000C5E83"/>
    <w:rsid w:val="000D3175"/>
    <w:rsid w:val="00102F9C"/>
    <w:rsid w:val="00104028"/>
    <w:rsid w:val="00111C6B"/>
    <w:rsid w:val="00116B87"/>
    <w:rsid w:val="00126153"/>
    <w:rsid w:val="001272C5"/>
    <w:rsid w:val="001340BA"/>
    <w:rsid w:val="00140091"/>
    <w:rsid w:val="00140AE4"/>
    <w:rsid w:val="00150DB3"/>
    <w:rsid w:val="00154C5B"/>
    <w:rsid w:val="00160301"/>
    <w:rsid w:val="001643EE"/>
    <w:rsid w:val="00166AF5"/>
    <w:rsid w:val="0017143B"/>
    <w:rsid w:val="0018400D"/>
    <w:rsid w:val="00186C06"/>
    <w:rsid w:val="00197D6A"/>
    <w:rsid w:val="001B6326"/>
    <w:rsid w:val="001C7C89"/>
    <w:rsid w:val="001D1837"/>
    <w:rsid w:val="001D5444"/>
    <w:rsid w:val="001E6A0E"/>
    <w:rsid w:val="001E7DEF"/>
    <w:rsid w:val="001F447B"/>
    <w:rsid w:val="001F732E"/>
    <w:rsid w:val="0021073D"/>
    <w:rsid w:val="002122FE"/>
    <w:rsid w:val="00225F63"/>
    <w:rsid w:val="00227B56"/>
    <w:rsid w:val="002510C3"/>
    <w:rsid w:val="0026062D"/>
    <w:rsid w:val="00260716"/>
    <w:rsid w:val="0026787E"/>
    <w:rsid w:val="002702B4"/>
    <w:rsid w:val="0027743C"/>
    <w:rsid w:val="00280E61"/>
    <w:rsid w:val="00284FBF"/>
    <w:rsid w:val="002876CB"/>
    <w:rsid w:val="002A5D7B"/>
    <w:rsid w:val="002C4E29"/>
    <w:rsid w:val="002C64F4"/>
    <w:rsid w:val="002C7C73"/>
    <w:rsid w:val="002D7E8B"/>
    <w:rsid w:val="002F49AB"/>
    <w:rsid w:val="00307136"/>
    <w:rsid w:val="003116D8"/>
    <w:rsid w:val="00320A18"/>
    <w:rsid w:val="00322096"/>
    <w:rsid w:val="00324000"/>
    <w:rsid w:val="00325FE6"/>
    <w:rsid w:val="00337DF4"/>
    <w:rsid w:val="00342591"/>
    <w:rsid w:val="003453BD"/>
    <w:rsid w:val="00347693"/>
    <w:rsid w:val="003602D8"/>
    <w:rsid w:val="0036219A"/>
    <w:rsid w:val="00362D67"/>
    <w:rsid w:val="00371E33"/>
    <w:rsid w:val="0038473B"/>
    <w:rsid w:val="0039075C"/>
    <w:rsid w:val="00394B20"/>
    <w:rsid w:val="00395C02"/>
    <w:rsid w:val="003974C2"/>
    <w:rsid w:val="00397784"/>
    <w:rsid w:val="00397AB4"/>
    <w:rsid w:val="00397C0A"/>
    <w:rsid w:val="00397D77"/>
    <w:rsid w:val="003A4EA6"/>
    <w:rsid w:val="003B2C30"/>
    <w:rsid w:val="003C422B"/>
    <w:rsid w:val="003D14C3"/>
    <w:rsid w:val="003D633B"/>
    <w:rsid w:val="003E2820"/>
    <w:rsid w:val="003E55F1"/>
    <w:rsid w:val="003E75C8"/>
    <w:rsid w:val="003F3D49"/>
    <w:rsid w:val="0042234A"/>
    <w:rsid w:val="0043409F"/>
    <w:rsid w:val="00434787"/>
    <w:rsid w:val="00436858"/>
    <w:rsid w:val="00441D9D"/>
    <w:rsid w:val="00451B2A"/>
    <w:rsid w:val="00452D41"/>
    <w:rsid w:val="00453E3E"/>
    <w:rsid w:val="00454DEB"/>
    <w:rsid w:val="004561A7"/>
    <w:rsid w:val="004704E8"/>
    <w:rsid w:val="00472702"/>
    <w:rsid w:val="004917F2"/>
    <w:rsid w:val="004A26D4"/>
    <w:rsid w:val="004B13A2"/>
    <w:rsid w:val="004D10C0"/>
    <w:rsid w:val="004D6409"/>
    <w:rsid w:val="004E305F"/>
    <w:rsid w:val="004F5017"/>
    <w:rsid w:val="004F5F28"/>
    <w:rsid w:val="004F763D"/>
    <w:rsid w:val="00515075"/>
    <w:rsid w:val="00521392"/>
    <w:rsid w:val="00521F9F"/>
    <w:rsid w:val="0053658F"/>
    <w:rsid w:val="00540E2A"/>
    <w:rsid w:val="005417B3"/>
    <w:rsid w:val="00562B19"/>
    <w:rsid w:val="00566041"/>
    <w:rsid w:val="00570FF7"/>
    <w:rsid w:val="00573251"/>
    <w:rsid w:val="00573772"/>
    <w:rsid w:val="005740A5"/>
    <w:rsid w:val="00590773"/>
    <w:rsid w:val="005939FF"/>
    <w:rsid w:val="00594023"/>
    <w:rsid w:val="005A6CE3"/>
    <w:rsid w:val="005B3332"/>
    <w:rsid w:val="005B4B53"/>
    <w:rsid w:val="005D26A9"/>
    <w:rsid w:val="005E3D44"/>
    <w:rsid w:val="005F0662"/>
    <w:rsid w:val="005F2CDA"/>
    <w:rsid w:val="00611310"/>
    <w:rsid w:val="006200BD"/>
    <w:rsid w:val="006209B0"/>
    <w:rsid w:val="006238DC"/>
    <w:rsid w:val="006243ED"/>
    <w:rsid w:val="00636F76"/>
    <w:rsid w:val="006526FA"/>
    <w:rsid w:val="00662E8E"/>
    <w:rsid w:val="00672806"/>
    <w:rsid w:val="00680794"/>
    <w:rsid w:val="006A6C52"/>
    <w:rsid w:val="006C38AB"/>
    <w:rsid w:val="006E1B83"/>
    <w:rsid w:val="006E352F"/>
    <w:rsid w:val="006F48F5"/>
    <w:rsid w:val="006F55CB"/>
    <w:rsid w:val="006F5C25"/>
    <w:rsid w:val="006F6A58"/>
    <w:rsid w:val="00704F28"/>
    <w:rsid w:val="007059CB"/>
    <w:rsid w:val="007073A1"/>
    <w:rsid w:val="00707E63"/>
    <w:rsid w:val="00717D43"/>
    <w:rsid w:val="00720ACC"/>
    <w:rsid w:val="00727B94"/>
    <w:rsid w:val="007331EC"/>
    <w:rsid w:val="00733E27"/>
    <w:rsid w:val="007352F8"/>
    <w:rsid w:val="007368AA"/>
    <w:rsid w:val="007420C9"/>
    <w:rsid w:val="00742EFB"/>
    <w:rsid w:val="00744E3A"/>
    <w:rsid w:val="00751379"/>
    <w:rsid w:val="0075329B"/>
    <w:rsid w:val="00764E45"/>
    <w:rsid w:val="00767061"/>
    <w:rsid w:val="0077196C"/>
    <w:rsid w:val="00782C2D"/>
    <w:rsid w:val="00786DAA"/>
    <w:rsid w:val="007A4DEF"/>
    <w:rsid w:val="007A74D9"/>
    <w:rsid w:val="007B0DEA"/>
    <w:rsid w:val="007C24D8"/>
    <w:rsid w:val="007C5BD0"/>
    <w:rsid w:val="007C60A9"/>
    <w:rsid w:val="007D0248"/>
    <w:rsid w:val="007D3E73"/>
    <w:rsid w:val="007E4E8F"/>
    <w:rsid w:val="007F3F4D"/>
    <w:rsid w:val="007F4FF8"/>
    <w:rsid w:val="007F54F6"/>
    <w:rsid w:val="007F70D6"/>
    <w:rsid w:val="0082190A"/>
    <w:rsid w:val="00840280"/>
    <w:rsid w:val="0084112E"/>
    <w:rsid w:val="00845657"/>
    <w:rsid w:val="0085090A"/>
    <w:rsid w:val="008515E0"/>
    <w:rsid w:val="0085441D"/>
    <w:rsid w:val="00870838"/>
    <w:rsid w:val="0087644D"/>
    <w:rsid w:val="0087664C"/>
    <w:rsid w:val="00877465"/>
    <w:rsid w:val="00881738"/>
    <w:rsid w:val="00884A82"/>
    <w:rsid w:val="008850C8"/>
    <w:rsid w:val="00886613"/>
    <w:rsid w:val="008A6563"/>
    <w:rsid w:val="008B0394"/>
    <w:rsid w:val="008B3CE3"/>
    <w:rsid w:val="008D2637"/>
    <w:rsid w:val="008E1714"/>
    <w:rsid w:val="008F12C6"/>
    <w:rsid w:val="008F2D24"/>
    <w:rsid w:val="00902A93"/>
    <w:rsid w:val="00914EA2"/>
    <w:rsid w:val="00915535"/>
    <w:rsid w:val="00921622"/>
    <w:rsid w:val="009219A0"/>
    <w:rsid w:val="009270A2"/>
    <w:rsid w:val="0093262F"/>
    <w:rsid w:val="00935F35"/>
    <w:rsid w:val="0093729B"/>
    <w:rsid w:val="00943BE6"/>
    <w:rsid w:val="0095145F"/>
    <w:rsid w:val="00986A79"/>
    <w:rsid w:val="00992131"/>
    <w:rsid w:val="009921FF"/>
    <w:rsid w:val="00992E10"/>
    <w:rsid w:val="009953F7"/>
    <w:rsid w:val="009A7B20"/>
    <w:rsid w:val="009B58FD"/>
    <w:rsid w:val="009B5C45"/>
    <w:rsid w:val="009B5ECD"/>
    <w:rsid w:val="009C0F79"/>
    <w:rsid w:val="009C47E0"/>
    <w:rsid w:val="009D2325"/>
    <w:rsid w:val="009D6511"/>
    <w:rsid w:val="009D6861"/>
    <w:rsid w:val="009E4B93"/>
    <w:rsid w:val="009E4C1A"/>
    <w:rsid w:val="009F083B"/>
    <w:rsid w:val="009F7A1C"/>
    <w:rsid w:val="00A04B87"/>
    <w:rsid w:val="00A12795"/>
    <w:rsid w:val="00A12BF3"/>
    <w:rsid w:val="00A3788B"/>
    <w:rsid w:val="00A44063"/>
    <w:rsid w:val="00A46A7D"/>
    <w:rsid w:val="00A46AA5"/>
    <w:rsid w:val="00A50F0B"/>
    <w:rsid w:val="00A57807"/>
    <w:rsid w:val="00A64B5E"/>
    <w:rsid w:val="00A73A26"/>
    <w:rsid w:val="00A9563C"/>
    <w:rsid w:val="00AA4426"/>
    <w:rsid w:val="00AB0A28"/>
    <w:rsid w:val="00AB2ABD"/>
    <w:rsid w:val="00AB6D38"/>
    <w:rsid w:val="00AB7B85"/>
    <w:rsid w:val="00AC079F"/>
    <w:rsid w:val="00AC2B2B"/>
    <w:rsid w:val="00AC2C53"/>
    <w:rsid w:val="00AC3139"/>
    <w:rsid w:val="00AC403B"/>
    <w:rsid w:val="00AC4150"/>
    <w:rsid w:val="00AC4236"/>
    <w:rsid w:val="00AD144A"/>
    <w:rsid w:val="00AF186E"/>
    <w:rsid w:val="00B179BB"/>
    <w:rsid w:val="00B229D9"/>
    <w:rsid w:val="00B3004E"/>
    <w:rsid w:val="00B32BBE"/>
    <w:rsid w:val="00B347FD"/>
    <w:rsid w:val="00B34F01"/>
    <w:rsid w:val="00B36365"/>
    <w:rsid w:val="00B41DDA"/>
    <w:rsid w:val="00B41E48"/>
    <w:rsid w:val="00B42895"/>
    <w:rsid w:val="00B432A4"/>
    <w:rsid w:val="00B5727A"/>
    <w:rsid w:val="00B611DF"/>
    <w:rsid w:val="00B74028"/>
    <w:rsid w:val="00B74F27"/>
    <w:rsid w:val="00B835AE"/>
    <w:rsid w:val="00B8439D"/>
    <w:rsid w:val="00B95747"/>
    <w:rsid w:val="00B96F26"/>
    <w:rsid w:val="00BA04B9"/>
    <w:rsid w:val="00BA0614"/>
    <w:rsid w:val="00BA1DAF"/>
    <w:rsid w:val="00BA2757"/>
    <w:rsid w:val="00BB1040"/>
    <w:rsid w:val="00BB161B"/>
    <w:rsid w:val="00BB49D2"/>
    <w:rsid w:val="00BC0792"/>
    <w:rsid w:val="00BC1AD4"/>
    <w:rsid w:val="00BC7592"/>
    <w:rsid w:val="00BD06BA"/>
    <w:rsid w:val="00BD1135"/>
    <w:rsid w:val="00BD4CF4"/>
    <w:rsid w:val="00BD7D06"/>
    <w:rsid w:val="00BE6EDE"/>
    <w:rsid w:val="00BE7C67"/>
    <w:rsid w:val="00BF3035"/>
    <w:rsid w:val="00BF7706"/>
    <w:rsid w:val="00C003DE"/>
    <w:rsid w:val="00C01D82"/>
    <w:rsid w:val="00C12189"/>
    <w:rsid w:val="00C26E05"/>
    <w:rsid w:val="00C27043"/>
    <w:rsid w:val="00C34019"/>
    <w:rsid w:val="00C404D3"/>
    <w:rsid w:val="00C43FD4"/>
    <w:rsid w:val="00C53571"/>
    <w:rsid w:val="00C62B17"/>
    <w:rsid w:val="00C7102F"/>
    <w:rsid w:val="00C72C48"/>
    <w:rsid w:val="00C814C1"/>
    <w:rsid w:val="00C929C2"/>
    <w:rsid w:val="00C95869"/>
    <w:rsid w:val="00CC0F91"/>
    <w:rsid w:val="00CE41AD"/>
    <w:rsid w:val="00CE7FBB"/>
    <w:rsid w:val="00CF057F"/>
    <w:rsid w:val="00CF4356"/>
    <w:rsid w:val="00CF7F82"/>
    <w:rsid w:val="00D00509"/>
    <w:rsid w:val="00D059B3"/>
    <w:rsid w:val="00D10D62"/>
    <w:rsid w:val="00D15797"/>
    <w:rsid w:val="00D24D6C"/>
    <w:rsid w:val="00D2510A"/>
    <w:rsid w:val="00D3342A"/>
    <w:rsid w:val="00D53A0D"/>
    <w:rsid w:val="00D6073A"/>
    <w:rsid w:val="00D61246"/>
    <w:rsid w:val="00D645E2"/>
    <w:rsid w:val="00D7409A"/>
    <w:rsid w:val="00D85A41"/>
    <w:rsid w:val="00D9761B"/>
    <w:rsid w:val="00DA130A"/>
    <w:rsid w:val="00DA3865"/>
    <w:rsid w:val="00DA38AC"/>
    <w:rsid w:val="00DA6D67"/>
    <w:rsid w:val="00DD338E"/>
    <w:rsid w:val="00DD353C"/>
    <w:rsid w:val="00DD660B"/>
    <w:rsid w:val="00DE3C6D"/>
    <w:rsid w:val="00DE4082"/>
    <w:rsid w:val="00DE58BB"/>
    <w:rsid w:val="00DE7935"/>
    <w:rsid w:val="00DF0D05"/>
    <w:rsid w:val="00DF3AA4"/>
    <w:rsid w:val="00E023B7"/>
    <w:rsid w:val="00E411A0"/>
    <w:rsid w:val="00E430A2"/>
    <w:rsid w:val="00E50B2E"/>
    <w:rsid w:val="00E70C07"/>
    <w:rsid w:val="00E75881"/>
    <w:rsid w:val="00E7654A"/>
    <w:rsid w:val="00E779A1"/>
    <w:rsid w:val="00E810A9"/>
    <w:rsid w:val="00E83293"/>
    <w:rsid w:val="00E948F4"/>
    <w:rsid w:val="00EA3969"/>
    <w:rsid w:val="00EA68E5"/>
    <w:rsid w:val="00EC1FB8"/>
    <w:rsid w:val="00EC27CF"/>
    <w:rsid w:val="00ED053B"/>
    <w:rsid w:val="00ED2815"/>
    <w:rsid w:val="00ED2EEF"/>
    <w:rsid w:val="00ED56EA"/>
    <w:rsid w:val="00ED76D4"/>
    <w:rsid w:val="00EE1391"/>
    <w:rsid w:val="00F03FB4"/>
    <w:rsid w:val="00F1022B"/>
    <w:rsid w:val="00F1197A"/>
    <w:rsid w:val="00F51B52"/>
    <w:rsid w:val="00F53CFE"/>
    <w:rsid w:val="00F55F0B"/>
    <w:rsid w:val="00F56837"/>
    <w:rsid w:val="00F636A5"/>
    <w:rsid w:val="00F63FCB"/>
    <w:rsid w:val="00F72B4B"/>
    <w:rsid w:val="00F7792E"/>
    <w:rsid w:val="00F8168E"/>
    <w:rsid w:val="00F9219E"/>
    <w:rsid w:val="00FA2FF5"/>
    <w:rsid w:val="00FB0D46"/>
    <w:rsid w:val="00FC6C9E"/>
    <w:rsid w:val="00FD7256"/>
    <w:rsid w:val="00FE58BC"/>
    <w:rsid w:val="00FE5D8A"/>
    <w:rsid w:val="00FE79EE"/>
    <w:rsid w:val="00FF5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FD4DC"/>
  <w15:docId w15:val="{FD4C62BE-13E4-43CC-A1D8-4FD559C5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30A"/>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DA130A"/>
    <w:pPr>
      <w:spacing w:before="600" w:after="360" w:line="220" w:lineRule="atLeast"/>
      <w:ind w:left="567" w:right="567"/>
      <w:contextualSpacing/>
    </w:pPr>
    <w:rPr>
      <w:sz w:val="18"/>
    </w:rPr>
  </w:style>
  <w:style w:type="paragraph" w:customStyle="1" w:styleId="heading1">
    <w:name w:val="heading1"/>
    <w:basedOn w:val="Normal"/>
    <w:next w:val="p1a"/>
    <w:qFormat/>
    <w:rsid w:val="00DA130A"/>
    <w:pPr>
      <w:keepNext/>
      <w:keepLines/>
      <w:numPr>
        <w:numId w:val="1"/>
      </w:numPr>
      <w:suppressAutoHyphens/>
      <w:spacing w:before="360" w:after="240" w:line="300" w:lineRule="atLeast"/>
      <w:jc w:val="left"/>
      <w:outlineLvl w:val="0"/>
    </w:pPr>
    <w:rPr>
      <w:b/>
      <w:sz w:val="24"/>
    </w:rPr>
  </w:style>
  <w:style w:type="paragraph" w:customStyle="1" w:styleId="heading2">
    <w:name w:val="heading2"/>
    <w:basedOn w:val="Normal"/>
    <w:next w:val="p1a"/>
    <w:qFormat/>
    <w:rsid w:val="00DA130A"/>
    <w:pPr>
      <w:keepNext/>
      <w:keepLines/>
      <w:numPr>
        <w:ilvl w:val="1"/>
        <w:numId w:val="1"/>
      </w:numPr>
      <w:suppressAutoHyphens/>
      <w:spacing w:before="360" w:after="160"/>
      <w:jc w:val="left"/>
      <w:outlineLvl w:val="1"/>
    </w:pPr>
    <w:rPr>
      <w:b/>
    </w:rPr>
  </w:style>
  <w:style w:type="numbering" w:customStyle="1" w:styleId="headings">
    <w:name w:val="headings"/>
    <w:basedOn w:val="NoList"/>
    <w:rsid w:val="00DA130A"/>
    <w:pPr>
      <w:numPr>
        <w:numId w:val="1"/>
      </w:numPr>
    </w:pPr>
  </w:style>
  <w:style w:type="character" w:styleId="Hyperlink">
    <w:name w:val="Hyperlink"/>
    <w:basedOn w:val="DefaultParagraphFont"/>
    <w:uiPriority w:val="99"/>
    <w:unhideWhenUsed/>
    <w:rsid w:val="00DA130A"/>
    <w:rPr>
      <w:color w:val="auto"/>
      <w:u w:val="none"/>
    </w:rPr>
  </w:style>
  <w:style w:type="paragraph" w:styleId="Header">
    <w:name w:val="header"/>
    <w:basedOn w:val="Normal"/>
    <w:link w:val="HeaderChar"/>
    <w:uiPriority w:val="99"/>
    <w:unhideWhenUsed/>
    <w:rsid w:val="00DA130A"/>
    <w:pPr>
      <w:tabs>
        <w:tab w:val="center" w:pos="4536"/>
        <w:tab w:val="right" w:pos="9072"/>
      </w:tabs>
      <w:ind w:firstLine="0"/>
    </w:pPr>
    <w:rPr>
      <w:sz w:val="18"/>
      <w:szCs w:val="18"/>
    </w:rPr>
  </w:style>
  <w:style w:type="character" w:customStyle="1" w:styleId="HeaderChar">
    <w:name w:val="Header Char"/>
    <w:basedOn w:val="DefaultParagraphFont"/>
    <w:link w:val="Header"/>
    <w:uiPriority w:val="99"/>
    <w:rsid w:val="00DA130A"/>
    <w:rPr>
      <w:rFonts w:ascii="Times New Roman" w:eastAsia="Times New Roman" w:hAnsi="Times New Roman" w:cs="Times New Roman"/>
      <w:sz w:val="18"/>
      <w:szCs w:val="18"/>
    </w:rPr>
  </w:style>
  <w:style w:type="paragraph" w:customStyle="1" w:styleId="p1a">
    <w:name w:val="p1a"/>
    <w:basedOn w:val="Normal"/>
    <w:next w:val="Normal"/>
    <w:rsid w:val="00DA130A"/>
    <w:pPr>
      <w:ind w:firstLine="0"/>
    </w:pPr>
  </w:style>
  <w:style w:type="paragraph" w:customStyle="1" w:styleId="papertitle">
    <w:name w:val="papertitle"/>
    <w:basedOn w:val="Normal"/>
    <w:next w:val="Normal"/>
    <w:rsid w:val="00DA130A"/>
    <w:pPr>
      <w:keepNext/>
      <w:keepLines/>
      <w:suppressAutoHyphens/>
      <w:spacing w:after="480" w:line="360" w:lineRule="atLeast"/>
      <w:ind w:firstLine="0"/>
      <w:jc w:val="center"/>
    </w:pPr>
    <w:rPr>
      <w:b/>
      <w:sz w:val="28"/>
    </w:rPr>
  </w:style>
  <w:style w:type="paragraph" w:customStyle="1" w:styleId="ChthchBngbiu-Hnhv">
    <w:name w:val="@ Chú thích Bảng biểu - Hình vẽ"/>
    <w:basedOn w:val="Normal"/>
    <w:rsid w:val="00DA130A"/>
    <w:pPr>
      <w:overflowPunct/>
      <w:autoSpaceDE/>
      <w:autoSpaceDN/>
      <w:adjustRightInd/>
      <w:spacing w:before="60" w:after="60" w:line="240" w:lineRule="auto"/>
      <w:ind w:firstLine="0"/>
      <w:jc w:val="center"/>
      <w:textAlignment w:val="auto"/>
    </w:pPr>
    <w:rPr>
      <w:rFonts w:ascii="Palatino Linotype" w:hAnsi="Palatino Linotype"/>
      <w:b/>
      <w:i/>
      <w:color w:val="000000"/>
      <w:sz w:val="22"/>
      <w:szCs w:val="24"/>
    </w:rPr>
  </w:style>
  <w:style w:type="paragraph" w:customStyle="1" w:styleId="Nidungtrongbng">
    <w:name w:val="@Nội dung trong bảng"/>
    <w:basedOn w:val="Normal"/>
    <w:qFormat/>
    <w:rsid w:val="00DA130A"/>
    <w:pPr>
      <w:overflowPunct/>
      <w:autoSpaceDE/>
      <w:autoSpaceDN/>
      <w:adjustRightInd/>
      <w:spacing w:before="60" w:after="60" w:line="276" w:lineRule="auto"/>
      <w:ind w:firstLine="0"/>
      <w:textAlignment w:val="auto"/>
    </w:pPr>
    <w:rPr>
      <w:rFonts w:ascii="Palatino Linotype" w:eastAsia="Calibri" w:hAnsi="Palatino Linotype"/>
      <w:sz w:val="22"/>
      <w:szCs w:val="22"/>
    </w:rPr>
  </w:style>
  <w:style w:type="paragraph" w:styleId="Caption">
    <w:name w:val="caption"/>
    <w:aliases w:val="@Chú thích hình"/>
    <w:basedOn w:val="Normal"/>
    <w:next w:val="Normal"/>
    <w:uiPriority w:val="35"/>
    <w:qFormat/>
    <w:rsid w:val="00DA130A"/>
    <w:pPr>
      <w:overflowPunct/>
      <w:autoSpaceDE/>
      <w:autoSpaceDN/>
      <w:adjustRightInd/>
      <w:spacing w:line="240" w:lineRule="auto"/>
      <w:ind w:firstLine="0"/>
      <w:jc w:val="center"/>
      <w:textAlignment w:val="auto"/>
    </w:pPr>
    <w:rPr>
      <w:rFonts w:ascii="Palatino Linotype" w:eastAsia="Calibri" w:hAnsi="Palatino Linotype"/>
      <w:bCs/>
      <w:i/>
      <w:sz w:val="22"/>
      <w:szCs w:val="18"/>
    </w:rPr>
  </w:style>
  <w:style w:type="paragraph" w:customStyle="1" w:styleId="NgunBngbiu-Hnhv">
    <w:name w:val="@ Nguồn Bảng biểu - Hình vẽ"/>
    <w:basedOn w:val="ChthchBngbiu-Hnhv"/>
    <w:qFormat/>
    <w:rsid w:val="00DA130A"/>
    <w:pPr>
      <w:jc w:val="right"/>
    </w:pPr>
    <w:rPr>
      <w:b w:val="0"/>
      <w:sz w:val="20"/>
    </w:rPr>
  </w:style>
  <w:style w:type="paragraph" w:styleId="Bibliography">
    <w:name w:val="Bibliography"/>
    <w:basedOn w:val="Normal"/>
    <w:next w:val="Normal"/>
    <w:uiPriority w:val="37"/>
    <w:unhideWhenUsed/>
    <w:rsid w:val="00DA130A"/>
    <w:pPr>
      <w:tabs>
        <w:tab w:val="left" w:pos="504"/>
      </w:tabs>
      <w:overflowPunct/>
      <w:autoSpaceDE/>
      <w:autoSpaceDN/>
      <w:adjustRightInd/>
      <w:spacing w:line="240" w:lineRule="auto"/>
      <w:ind w:left="504" w:hanging="504"/>
      <w:jc w:val="left"/>
      <w:textAlignment w:val="auto"/>
    </w:pPr>
    <w:rPr>
      <w:sz w:val="24"/>
      <w:szCs w:val="24"/>
    </w:rPr>
  </w:style>
  <w:style w:type="table" w:styleId="GridTable1Light">
    <w:name w:val="Grid Table 1 Light"/>
    <w:basedOn w:val="TableNormal"/>
    <w:uiPriority w:val="46"/>
    <w:rsid w:val="00DA130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
    <w:name w:val="List Bullet"/>
    <w:basedOn w:val="Normal"/>
    <w:uiPriority w:val="99"/>
    <w:unhideWhenUsed/>
    <w:rsid w:val="00DA130A"/>
    <w:pPr>
      <w:numPr>
        <w:numId w:val="2"/>
      </w:numPr>
      <w:overflowPunct/>
      <w:autoSpaceDE/>
      <w:autoSpaceDN/>
      <w:adjustRightInd/>
      <w:spacing w:after="200" w:line="276" w:lineRule="auto"/>
      <w:contextualSpacing/>
      <w:jc w:val="left"/>
      <w:textAlignment w:val="auto"/>
    </w:pPr>
    <w:rPr>
      <w:rFonts w:asciiTheme="minorHAnsi" w:eastAsiaTheme="minorEastAsia" w:hAnsiTheme="minorHAnsi" w:cstheme="minorBidi"/>
      <w:sz w:val="22"/>
      <w:szCs w:val="22"/>
    </w:rPr>
  </w:style>
  <w:style w:type="table" w:styleId="TableGrid">
    <w:name w:val="Table Grid"/>
    <w:basedOn w:val="TableNormal"/>
    <w:uiPriority w:val="59"/>
    <w:rsid w:val="00DA130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0E2A"/>
    <w:pPr>
      <w:ind w:left="720"/>
      <w:contextualSpacing/>
    </w:pPr>
  </w:style>
  <w:style w:type="paragraph" w:styleId="FootnoteText">
    <w:name w:val="footnote text"/>
    <w:basedOn w:val="Normal"/>
    <w:link w:val="FootnoteTextChar"/>
    <w:uiPriority w:val="99"/>
    <w:semiHidden/>
    <w:unhideWhenUsed/>
    <w:rsid w:val="009B58FD"/>
    <w:pPr>
      <w:spacing w:line="240" w:lineRule="auto"/>
    </w:pPr>
  </w:style>
  <w:style w:type="character" w:customStyle="1" w:styleId="FootnoteTextChar">
    <w:name w:val="Footnote Text Char"/>
    <w:basedOn w:val="DefaultParagraphFont"/>
    <w:link w:val="FootnoteText"/>
    <w:uiPriority w:val="99"/>
    <w:semiHidden/>
    <w:rsid w:val="009B58F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B58FD"/>
    <w:rPr>
      <w:vertAlign w:val="superscript"/>
    </w:rPr>
  </w:style>
  <w:style w:type="paragraph" w:customStyle="1" w:styleId="papersubtitle">
    <w:name w:val="papersubtitle"/>
    <w:basedOn w:val="papertitle"/>
    <w:next w:val="Normal"/>
    <w:rsid w:val="007E4E8F"/>
    <w:pPr>
      <w:spacing w:before="120" w:line="280" w:lineRule="atLeast"/>
    </w:pPr>
    <w:rPr>
      <w:rFonts w:ascii="Palatino Linotype" w:hAnsi="Palatino Linotype" w:cs="Calibri"/>
      <w:sz w:val="24"/>
    </w:rPr>
  </w:style>
  <w:style w:type="character" w:styleId="PlaceholderText">
    <w:name w:val="Placeholder Text"/>
    <w:basedOn w:val="DefaultParagraphFont"/>
    <w:uiPriority w:val="99"/>
    <w:semiHidden/>
    <w:rsid w:val="005F0662"/>
    <w:rPr>
      <w:color w:val="808080"/>
    </w:rPr>
  </w:style>
  <w:style w:type="character" w:customStyle="1" w:styleId="hljs-comment">
    <w:name w:val="hljs-comment"/>
    <w:basedOn w:val="DefaultParagraphFont"/>
    <w:rsid w:val="00B95747"/>
  </w:style>
  <w:style w:type="character" w:customStyle="1" w:styleId="hljs-builtin">
    <w:name w:val="hljs-built_in"/>
    <w:basedOn w:val="DefaultParagraphFont"/>
    <w:rsid w:val="00B95747"/>
  </w:style>
  <w:style w:type="character" w:customStyle="1" w:styleId="hljs-keyword">
    <w:name w:val="hljs-keyword"/>
    <w:basedOn w:val="DefaultParagraphFont"/>
    <w:rsid w:val="00B95747"/>
  </w:style>
  <w:style w:type="character" w:customStyle="1" w:styleId="hljs-number">
    <w:name w:val="hljs-number"/>
    <w:basedOn w:val="DefaultParagraphFont"/>
    <w:rsid w:val="00B95747"/>
  </w:style>
  <w:style w:type="table" w:styleId="TableGridLight">
    <w:name w:val="Grid Table Light"/>
    <w:basedOn w:val="TableNormal"/>
    <w:uiPriority w:val="40"/>
    <w:rsid w:val="00C01D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ation-574">
    <w:name w:val="citation-574"/>
    <w:basedOn w:val="DefaultParagraphFont"/>
    <w:rsid w:val="008D2637"/>
  </w:style>
  <w:style w:type="character" w:customStyle="1" w:styleId="citation-573">
    <w:name w:val="citation-573"/>
    <w:basedOn w:val="DefaultParagraphFont"/>
    <w:rsid w:val="008D2637"/>
  </w:style>
  <w:style w:type="character" w:customStyle="1" w:styleId="citation-572">
    <w:name w:val="citation-572"/>
    <w:basedOn w:val="DefaultParagraphFont"/>
    <w:rsid w:val="008D2637"/>
  </w:style>
  <w:style w:type="character" w:customStyle="1" w:styleId="citation-571">
    <w:name w:val="citation-571"/>
    <w:basedOn w:val="DefaultParagraphFont"/>
    <w:rsid w:val="008D2637"/>
  </w:style>
  <w:style w:type="character" w:customStyle="1" w:styleId="citation-570">
    <w:name w:val="citation-570"/>
    <w:basedOn w:val="DefaultParagraphFont"/>
    <w:rsid w:val="008D2637"/>
  </w:style>
  <w:style w:type="paragraph" w:styleId="Footer">
    <w:name w:val="footer"/>
    <w:basedOn w:val="Normal"/>
    <w:link w:val="FooterChar"/>
    <w:uiPriority w:val="99"/>
    <w:unhideWhenUsed/>
    <w:rsid w:val="0085441D"/>
    <w:pPr>
      <w:tabs>
        <w:tab w:val="center" w:pos="4680"/>
        <w:tab w:val="right" w:pos="9360"/>
      </w:tabs>
      <w:spacing w:line="240" w:lineRule="auto"/>
    </w:pPr>
  </w:style>
  <w:style w:type="character" w:customStyle="1" w:styleId="FooterChar">
    <w:name w:val="Footer Char"/>
    <w:basedOn w:val="DefaultParagraphFont"/>
    <w:link w:val="Footer"/>
    <w:uiPriority w:val="99"/>
    <w:rsid w:val="0085441D"/>
    <w:rPr>
      <w:rFonts w:ascii="Times New Roman" w:eastAsia="Times New Roman" w:hAnsi="Times New Roman" w:cs="Times New Roman"/>
      <w:sz w:val="20"/>
      <w:szCs w:val="20"/>
    </w:rPr>
  </w:style>
  <w:style w:type="character" w:customStyle="1" w:styleId="citation-715">
    <w:name w:val="citation-715"/>
    <w:basedOn w:val="DefaultParagraphFont"/>
    <w:rsid w:val="00AC2C53"/>
  </w:style>
  <w:style w:type="character" w:customStyle="1" w:styleId="citation-714">
    <w:name w:val="citation-714"/>
    <w:basedOn w:val="DefaultParagraphFont"/>
    <w:rsid w:val="00AC2C53"/>
  </w:style>
  <w:style w:type="character" w:customStyle="1" w:styleId="citation-713">
    <w:name w:val="citation-713"/>
    <w:basedOn w:val="DefaultParagraphFont"/>
    <w:rsid w:val="00AC2C53"/>
  </w:style>
  <w:style w:type="character" w:styleId="Strong">
    <w:name w:val="Strong"/>
    <w:basedOn w:val="DefaultParagraphFont"/>
    <w:uiPriority w:val="22"/>
    <w:qFormat/>
    <w:rsid w:val="00116B87"/>
    <w:rPr>
      <w:b/>
      <w:bCs/>
    </w:rPr>
  </w:style>
  <w:style w:type="table" w:styleId="PlainTable1">
    <w:name w:val="Plain Table 1"/>
    <w:basedOn w:val="TableNormal"/>
    <w:uiPriority w:val="41"/>
    <w:rsid w:val="00116B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16B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153141">
      <w:bodyDiv w:val="1"/>
      <w:marLeft w:val="0"/>
      <w:marRight w:val="0"/>
      <w:marTop w:val="0"/>
      <w:marBottom w:val="0"/>
      <w:divBdr>
        <w:top w:val="none" w:sz="0" w:space="0" w:color="auto"/>
        <w:left w:val="none" w:sz="0" w:space="0" w:color="auto"/>
        <w:bottom w:val="none" w:sz="0" w:space="0" w:color="auto"/>
        <w:right w:val="none" w:sz="0" w:space="0" w:color="auto"/>
      </w:divBdr>
    </w:div>
    <w:div w:id="1145392515">
      <w:bodyDiv w:val="1"/>
      <w:marLeft w:val="0"/>
      <w:marRight w:val="0"/>
      <w:marTop w:val="0"/>
      <w:marBottom w:val="0"/>
      <w:divBdr>
        <w:top w:val="none" w:sz="0" w:space="0" w:color="auto"/>
        <w:left w:val="none" w:sz="0" w:space="0" w:color="auto"/>
        <w:bottom w:val="none" w:sz="0" w:space="0" w:color="auto"/>
        <w:right w:val="none" w:sz="0" w:space="0" w:color="auto"/>
      </w:divBdr>
    </w:div>
    <w:div w:id="2081630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F3041-C435-4E15-ACCB-5A3944379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12588</Words>
  <Characters>71754</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Tran Thai</dc:creator>
  <cp:keywords/>
  <dc:description/>
  <cp:lastModifiedBy>Hoa Tran Thai</cp:lastModifiedBy>
  <cp:revision>2</cp:revision>
  <cp:lastPrinted>2026-01-10T23:52:00Z</cp:lastPrinted>
  <dcterms:created xsi:type="dcterms:W3CDTF">2026-08-22T04:17:00Z</dcterms:created>
  <dcterms:modified xsi:type="dcterms:W3CDTF">2026-08-22T04:17:00Z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id="6D1FpSgY"/&gt;&lt;style id="http://www.zotero.org/styles/ieee" locale="en-US" hasBibliography="1" bibliographyStyleHasBeenSet="1"/&gt;&lt;prefs&gt;&lt;pref name="fieldType" value="Field"/&gt;&lt;pref name="delayCitationU</vt:lpwstr>
  </property>
  <property fmtid="{D5CDD505-2E9C-101B-9397-08002B2CF9AE}" pid="3" name="GrammarlyDocumentId">
    <vt:lpwstr>231fd4ab-0d47-47ed-ae3a-9180c0a999ae</vt:lpwstr>
  </property>
  <property fmtid="{D5CDD505-2E9C-101B-9397-08002B2CF9AE}" pid="4" name="ZOTERO_PREF_2">
    <vt:lpwstr>pdates" value="true"/&gt;&lt;pref name="dontAskDelayCitationUpdates" value="true"/&gt;&lt;/prefs&gt;&lt;/data&gt;</vt:lpwstr>
  </property>
</Properties>
</file>