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138701" w14:textId="77777777" w:rsidR="009B1D59" w:rsidRPr="009A3755" w:rsidRDefault="009B1D59" w:rsidP="009B1D59">
      <w:pPr>
        <w:pStyle w:val="Title1"/>
      </w:pPr>
      <w:r w:rsidRPr="009A3755">
        <w:br/>
      </w:r>
      <w:r w:rsidR="00A4066B" w:rsidRPr="00A4066B">
        <w:t>Enhancing G</w:t>
      </w:r>
      <w:r w:rsidR="00A4066B">
        <w:t>RU</w:t>
      </w:r>
      <w:r w:rsidR="00A4066B" w:rsidRPr="00A4066B">
        <w:t xml:space="preserve"> Forecasting Accuracy </w:t>
      </w:r>
      <w:r w:rsidR="00A4066B">
        <w:t>w</w:t>
      </w:r>
      <w:r w:rsidR="00A4066B" w:rsidRPr="00A4066B">
        <w:t xml:space="preserve">ith Empirical Mode Decomposition </w:t>
      </w:r>
      <w:r w:rsidR="00A4066B">
        <w:t>f</w:t>
      </w:r>
      <w:r w:rsidR="00A4066B" w:rsidRPr="00A4066B">
        <w:t>or Bitcoin Prices</w:t>
      </w:r>
    </w:p>
    <w:p w14:paraId="666E0732" w14:textId="06049422" w:rsidR="009B1D59" w:rsidRPr="00CB7FCD" w:rsidRDefault="00CB7FCD" w:rsidP="00CB7FCD">
      <w:pPr>
        <w:pStyle w:val="author"/>
        <w:spacing w:after="0"/>
        <w:rPr>
          <w:lang w:val="de-DE"/>
        </w:rPr>
      </w:pPr>
      <w:r>
        <w:rPr>
          <w:lang w:val="de-DE"/>
        </w:rPr>
        <w:t>Hoa Tran Thai</w:t>
      </w:r>
      <w:r w:rsidR="00E846D3" w:rsidRPr="00E846D3">
        <w:rPr>
          <w:vertAlign w:val="superscript"/>
          <w:lang w:val="de-DE"/>
        </w:rPr>
        <w:t>1</w:t>
      </w:r>
      <w:r w:rsidR="009B1D59" w:rsidRPr="00CB2306">
        <w:rPr>
          <w:lang w:val="de-DE"/>
        </w:rPr>
        <w:t xml:space="preserve">, </w:t>
      </w:r>
      <w:r>
        <w:rPr>
          <w:lang w:val="de-DE"/>
        </w:rPr>
        <w:t>Tuan Nguyen Thanh</w:t>
      </w:r>
      <w:r w:rsidR="009B1D59" w:rsidRPr="00CB2306">
        <w:rPr>
          <w:vertAlign w:val="superscript"/>
          <w:lang w:val="de-DE"/>
        </w:rPr>
        <w:t>1</w:t>
      </w:r>
      <w:r w:rsidR="009B1D59" w:rsidRPr="00CB2306">
        <w:rPr>
          <w:lang w:val="de-DE"/>
        </w:rPr>
        <w:t>,</w:t>
      </w:r>
      <w:r w:rsidR="00C16F71" w:rsidRPr="00CB2306">
        <w:rPr>
          <w:lang w:val="de-DE"/>
        </w:rPr>
        <w:t xml:space="preserve"> </w:t>
      </w:r>
      <w:r>
        <w:rPr>
          <w:lang w:val="de-DE"/>
        </w:rPr>
        <w:t>Huong Phan Thi Thu</w:t>
      </w:r>
      <w:r w:rsidR="00CB2306" w:rsidRPr="00CB2306">
        <w:rPr>
          <w:vertAlign w:val="superscript"/>
          <w:lang w:val="de-DE"/>
        </w:rPr>
        <w:t>1</w:t>
      </w:r>
      <w:r w:rsidR="00CB2306" w:rsidRPr="00CB2306">
        <w:rPr>
          <w:lang w:val="de-DE"/>
        </w:rPr>
        <w:t>,</w:t>
      </w:r>
      <w:r w:rsidR="00726D29">
        <w:rPr>
          <w:lang w:val="de-DE"/>
        </w:rPr>
        <w:t xml:space="preserve"> Ho Quoc Dung</w:t>
      </w:r>
      <w:r w:rsidR="00726D29" w:rsidRPr="00726D29">
        <w:rPr>
          <w:vertAlign w:val="superscript"/>
          <w:lang w:val="de-DE"/>
        </w:rPr>
        <w:t>2</w:t>
      </w:r>
      <w:r w:rsidR="00726D29">
        <w:rPr>
          <w:lang w:val="de-DE"/>
        </w:rPr>
        <w:t>,</w:t>
      </w:r>
      <w:r w:rsidR="00CB2306" w:rsidRPr="00CB2306">
        <w:rPr>
          <w:lang w:val="de-DE"/>
        </w:rPr>
        <w:t xml:space="preserve"> </w:t>
      </w:r>
      <w:r>
        <w:rPr>
          <w:lang w:val="de-DE"/>
        </w:rPr>
        <w:t>Lien Thi Quynh Le</w:t>
      </w:r>
      <w:r w:rsidR="00CB2306" w:rsidRPr="00CB2306">
        <w:rPr>
          <w:position w:val="6"/>
          <w:sz w:val="12"/>
          <w:szCs w:val="12"/>
          <w:lang w:val="de-DE"/>
        </w:rPr>
        <w:t>1</w:t>
      </w:r>
    </w:p>
    <w:p w14:paraId="26170027" w14:textId="77777777" w:rsidR="000E4EF4" w:rsidRPr="00CB2306" w:rsidRDefault="000E4EF4" w:rsidP="000E4EF4">
      <w:pPr>
        <w:pStyle w:val="authorinfo"/>
        <w:rPr>
          <w:lang w:val="de-DE"/>
        </w:rPr>
      </w:pPr>
    </w:p>
    <w:p w14:paraId="5B6D9CBA" w14:textId="49E3DB9A" w:rsidR="009B1D59" w:rsidRDefault="009B1D59" w:rsidP="009B1D59">
      <w:pPr>
        <w:pStyle w:val="authorinfo"/>
        <w:rPr>
          <w:lang w:val="de-DE"/>
        </w:rPr>
      </w:pPr>
      <w:r w:rsidRPr="009A3755">
        <w:rPr>
          <w:position w:val="6"/>
          <w:sz w:val="11"/>
          <w:szCs w:val="11"/>
          <w:lang w:val="de-DE"/>
        </w:rPr>
        <w:t>1</w:t>
      </w:r>
      <w:r w:rsidR="00CB7FCD">
        <w:rPr>
          <w:lang w:val="de-DE"/>
        </w:rPr>
        <w:t xml:space="preserve"> University of Economics, Hue University</w:t>
      </w:r>
      <w:r w:rsidRPr="009A3755">
        <w:rPr>
          <w:lang w:val="de-DE"/>
        </w:rPr>
        <w:t>,</w:t>
      </w:r>
      <w:r w:rsidRPr="009A3755">
        <w:rPr>
          <w:lang w:val="de-DE"/>
        </w:rPr>
        <w:br/>
      </w:r>
      <w:r w:rsidR="00CB7FCD">
        <w:rPr>
          <w:lang w:val="de-DE"/>
        </w:rPr>
        <w:t>49000 Hue, Viet Nam</w:t>
      </w:r>
    </w:p>
    <w:p w14:paraId="0717F75D" w14:textId="3BFA27BF" w:rsidR="00726D29" w:rsidRDefault="00726D29" w:rsidP="00726D29">
      <w:pPr>
        <w:pStyle w:val="authorinfo"/>
        <w:rPr>
          <w:lang w:val="de-DE"/>
        </w:rPr>
      </w:pPr>
      <w:r>
        <w:rPr>
          <w:position w:val="6"/>
          <w:sz w:val="11"/>
          <w:szCs w:val="11"/>
          <w:lang w:val="de-DE"/>
        </w:rPr>
        <w:t>2</w:t>
      </w:r>
      <w:r>
        <w:rPr>
          <w:lang w:val="de-DE"/>
        </w:rPr>
        <w:t>School of Engineering and Technology</w:t>
      </w:r>
      <w:r>
        <w:rPr>
          <w:lang w:val="de-DE"/>
        </w:rPr>
        <w:t>, Hue University</w:t>
      </w:r>
      <w:r w:rsidRPr="009A3755">
        <w:rPr>
          <w:lang w:val="de-DE"/>
        </w:rPr>
        <w:t>,</w:t>
      </w:r>
      <w:r w:rsidRPr="009A3755">
        <w:rPr>
          <w:lang w:val="de-DE"/>
        </w:rPr>
        <w:br/>
      </w:r>
      <w:r>
        <w:rPr>
          <w:lang w:val="de-DE"/>
        </w:rPr>
        <w:t>49000 Hue, Viet Nam</w:t>
      </w:r>
    </w:p>
    <w:p w14:paraId="6FDE9771" w14:textId="77777777" w:rsidR="00726D29" w:rsidRPr="00726D29" w:rsidRDefault="00726D29" w:rsidP="00726D29">
      <w:pPr>
        <w:pStyle w:val="email"/>
        <w:rPr>
          <w:lang w:val="de-DE"/>
        </w:rPr>
      </w:pPr>
    </w:p>
    <w:p w14:paraId="79604C0D" w14:textId="68D23466" w:rsidR="009B1D59" w:rsidRPr="009A3755" w:rsidRDefault="00E846D3" w:rsidP="009B1D59">
      <w:pPr>
        <w:pStyle w:val="email"/>
        <w:rPr>
          <w:lang w:val="de-DE"/>
        </w:rPr>
      </w:pPr>
      <w:r>
        <w:rPr>
          <w:lang w:val="de-DE"/>
        </w:rPr>
        <w:t xml:space="preserve">{tranthaihoa, nguyenthanhtuan, </w:t>
      </w:r>
      <w:r w:rsidR="00EB5B7D">
        <w:rPr>
          <w:lang w:val="de-DE"/>
        </w:rPr>
        <w:t>phanthithuhuong</w:t>
      </w:r>
      <w:r>
        <w:rPr>
          <w:lang w:val="de-DE"/>
        </w:rPr>
        <w:t xml:space="preserve">, </w:t>
      </w:r>
      <w:r w:rsidR="00726D29">
        <w:rPr>
          <w:lang w:val="de-DE"/>
        </w:rPr>
        <w:t xml:space="preserve">hqdung, </w:t>
      </w:r>
      <w:r>
        <w:rPr>
          <w:lang w:val="de-DE"/>
        </w:rPr>
        <w:t>lethiquynhlien}@hueuni.edu.vn</w:t>
      </w:r>
    </w:p>
    <w:p w14:paraId="7E528388" w14:textId="77777777" w:rsidR="000E4EF4" w:rsidRDefault="009B1D59" w:rsidP="000E4EF4">
      <w:pPr>
        <w:pStyle w:val="abstract"/>
      </w:pPr>
      <w:r>
        <w:rPr>
          <w:b/>
        </w:rPr>
        <w:t>Abstract.</w:t>
      </w:r>
      <w:r>
        <w:t xml:space="preserve"> </w:t>
      </w:r>
      <w:r w:rsidR="00A4066B" w:rsidRPr="00A4066B">
        <w:t>Bitcoin price forecasting is challenging because of its nonlinear, volatile, and non-stationary behavior. To address this issue, this study proposes an EMD-GRU framework that combines Empirical Mode Decomposition (EMD) with Gated Recurrent Units (GRU) for Bitcoin price prediction. First, the original price series is decomposed into several intrinsic mode functions (IMFs), each capturing distinct frequency patterns. Then, separate GRU models are trained on each IMF, and the final forecast is obtained by aggregating the component predictions. Experiments on daily Bitcoin price data from Yahoo Finance show that the proposed model outperforms the baseline GRU. Specifically, EMD-GRU reduces the RMSE from 9519.78 to 5422.74 and improves the R² from 0.887 to 0.963. The results demonstrate that decomposition-based learning can substantially enhance forecasting accuracy for complex financial time series.</w:t>
      </w:r>
    </w:p>
    <w:p w14:paraId="3E8CFF81" w14:textId="77777777" w:rsidR="000E4EF4" w:rsidRPr="000E4EF4" w:rsidRDefault="000E4EF4" w:rsidP="000E4EF4">
      <w:pPr>
        <w:pStyle w:val="abstract"/>
        <w:spacing w:before="120"/>
      </w:pPr>
      <w:r w:rsidRPr="000E4EF4">
        <w:rPr>
          <w:b/>
        </w:rPr>
        <w:t>Keywords</w:t>
      </w:r>
      <w:r>
        <w:rPr>
          <w:b/>
        </w:rPr>
        <w:t xml:space="preserve">: </w:t>
      </w:r>
      <w:r w:rsidR="00A4066B" w:rsidRPr="00A4066B">
        <w:t>Bitcoin, decomposition technique, EMD, GRU, time series forecasting</w:t>
      </w:r>
      <w:r>
        <w:t>.</w:t>
      </w:r>
    </w:p>
    <w:p w14:paraId="4232BE85" w14:textId="77777777" w:rsidR="009B1D59" w:rsidRPr="009A3755" w:rsidRDefault="009B1D59" w:rsidP="009B1D59">
      <w:pPr>
        <w:pStyle w:val="heading10"/>
      </w:pPr>
      <w:r w:rsidRPr="009A3755">
        <w:t>1   Introduction</w:t>
      </w:r>
    </w:p>
    <w:p w14:paraId="2FC3D92C" w14:textId="4F1619C1" w:rsidR="00A4066B" w:rsidRDefault="00A4066B" w:rsidP="00A4066B">
      <w:pPr>
        <w:pStyle w:val="p1a"/>
      </w:pPr>
      <w:r>
        <w:t>The rapid growth of cryptocurrencies, particularly Bitcoin, has attracted significant attention from both academic researchers and financial practitioners. As a highly volatile and speculative asset, Bitcoin exhibits complex price dynamics characterized by nonlinearity, non-stationarity, and abrupt fluctuations</w:t>
      </w:r>
      <w:r w:rsidR="005D4B4A">
        <w:t xml:space="preserve"> </w:t>
      </w:r>
      <w:r w:rsidR="005D4B4A" w:rsidRPr="002A7A03">
        <w:fldChar w:fldCharType="begin"/>
      </w:r>
      <w:r w:rsidR="005D4B4A" w:rsidRPr="002A7A03">
        <w:instrText xml:space="preserve"> ADDIN ZOTERO_ITEM CSL_CITATION {"citationID":"b4dw7UOq","properties":{"formattedCitation":"[1]","plainCitation":"[1]","noteIndex":0},"citationItems":[{"id":1146,"uris":["http://zotero.org/users/local/DHziEHyZ/items/ILSPZ2CA"],"itemData":{"id":1146,"type":"article-journal","abstract":"The price fluctuation of cryptocurrencies represented by Bitcoin has nonlinear structure characteristics. We select the Bitcoin closing price data from 2013 to 2021, and use GARCH (1,1)-GED to fit the volatility series. We confirm that Bitcoin price Fluctuation has nonlinear dynamics through BDS test, Hurst exponent, correlation dimension test and Lyapunov exponent. We find that the price fluctuation of cryptocurrency does not obey the random walk, and its fluctuation is positively correlated with time. Bullish information and bearish information have basically the same impact on cryptocurrency fluctuations. Cryptocurrency price fluctuations have cyclical trends and inherent long-term unpredictability, as well as certain fractal and chaos characteristics. ARCH effect and long memory characteristics of cryptocurrency return series show that cryptocurrency price fluctuations are Clustering and persistence. These two characteristics constitute the nonlinear dynamic mechanism of Bitcoin price fluctuation. Overall, our study has important implications for investors and regulators within cryptocurrency markets.","container-title":"Finance Research Letters","DOI":"10.1016/j.frl.2022.102803","ISSN":"1544-6123","journalAbbreviation":"Finance Research Letters","page":"102803","source":"ScienceDirect","title":"Nonlinear dynamics analysis of cryptocurrency price fluctuations based on Bitcoin","volume":"47","author":[{"family":"Tong","given":"Zhongwen"},{"family":"Chen","given":"Zhanbo"},{"family":"Zhu","given":"Chen"}],"issued":{"date-parts":[["2022",6,1]]}}}],"schema":"https://github.com/citation-style-language/schema/raw/master/csl-citation.json"} </w:instrText>
      </w:r>
      <w:r w:rsidR="005D4B4A" w:rsidRPr="002A7A03">
        <w:fldChar w:fldCharType="separate"/>
      </w:r>
      <w:r w:rsidR="005D4B4A" w:rsidRPr="002A7A03">
        <w:t>[1]</w:t>
      </w:r>
      <w:r w:rsidR="005D4B4A" w:rsidRPr="002A7A03">
        <w:fldChar w:fldCharType="end"/>
      </w:r>
      <w:r>
        <w:t>. Accurate forecasting of Bitcoin prices plays a critical role in portfolio management, algorithmic trading, and financial risk assessment. However, these inherent characteristics make reliable prediction a challenging task for traditional time series models.</w:t>
      </w:r>
    </w:p>
    <w:p w14:paraId="076F3332" w14:textId="6FC24317" w:rsidR="00A4066B" w:rsidRDefault="00A4066B" w:rsidP="00A4066B">
      <w:r>
        <w:t xml:space="preserve">Conventional statistical approaches, such as autoregressive integrated moving average (ARIMA) and generalized autoregressive conditional heteroskedasticity (GARCH), have been widely applied to financial time series forecasting </w:t>
      </w:r>
      <w:r w:rsidR="005D4B4A" w:rsidRPr="002A7A03">
        <w:fldChar w:fldCharType="begin"/>
      </w:r>
      <w:r w:rsidR="005D4B4A" w:rsidRPr="002A7A03">
        <w:instrText xml:space="preserve"> ADDIN ZOTERO_ITEM CSL_CITATION {"citationID":"N9q0jvUH","properties":{"formattedCitation":"[2]","plainCitation":"[2]","noteIndex":0},"citationItems":[{"id":1149,"uris":["http://zotero.org/users/local/DHziEHyZ/items/4RBKST7M"],"itemData":{"id":1149,"type":"article-journal","abstract":"Accurately modeling and predicting the mean and volatility of electricity prices can be of great importance to value electricity, bid or hedge against the volatility of electricity prices and manage risk. The paper applies various autoregressive moving average (ARMA) models with generalized autoregressive conditional heteroskedasticity (GARCH) processes, namely ARMA–GARCH models, along with their modified forms, ARMA–GARCH-in-mean (ARMA–GARCH-M), to model and forecast hourly ahead electricity prices. In total, 10 different model structures are adopted, and this paper thus conducts a comprehensive investigation on the ARMA–GARCH based time series forecasting of electricity prices. Multiple statistical measures are employed to evaluate the modeling sufficiency and predication accuracy of the ARMA–GARCH(-M) methods. The results show that the ARMA–GARCH-M models are in general an effective tool for modeling and forecasting the mean and volatility of electricity prices, while ARMA–SGARCH-M models are simple and robust and the ARMA–GJRGARCH-M model is very competitive. In addition, we observe that hourly electricity prices exhibit apparent daily, weekly and monthly periodicities, and have the nonlinear and asymmetric time-varying volatility together with an inverse leverage effect.","container-title":"Energy Economics","DOI":"10.1016/j.eneco.2013.02.006","ISSN":"0140-9883","journalAbbreviation":"Energy Economics","page":"152-166","source":"ScienceDirect","title":"Applying ARMA–GARCH approaches to forecasting short-term electricity prices","volume":"37","author":[{"family":"Liu","given":"Heping"},{"family":"Shi","given":"Jing"}],"issued":{"date-parts":[["2013",5,1]]}}}],"schema":"https://github.com/citation-style-language/schema/raw/master/csl-citation.json"} </w:instrText>
      </w:r>
      <w:r w:rsidR="005D4B4A" w:rsidRPr="002A7A03">
        <w:fldChar w:fldCharType="separate"/>
      </w:r>
      <w:r w:rsidR="005D4B4A" w:rsidRPr="002A7A03">
        <w:t>[2]</w:t>
      </w:r>
      <w:r w:rsidR="005D4B4A" w:rsidRPr="002A7A03">
        <w:fldChar w:fldCharType="end"/>
      </w:r>
      <w:r>
        <w:t xml:space="preserve">. While these models are effective in capturing linear dependencies and volatility clustering, they often fail to model the nonlinear and multi-scale nature of cryptocurrency price </w:t>
      </w:r>
      <w:r>
        <w:lastRenderedPageBreak/>
        <w:t xml:space="preserve">movements </w:t>
      </w:r>
      <w:r w:rsidR="005D4B4A" w:rsidRPr="002A7A03">
        <w:fldChar w:fldCharType="begin"/>
      </w:r>
      <w:r w:rsidR="005D4B4A" w:rsidRPr="002A7A03">
        <w:instrText xml:space="preserve"> ADDIN ZOTERO_ITEM CSL_CITATION {"citationID":"ejMP21CZ","properties":{"formattedCitation":"[3]","plainCitation":"[3]","noteIndex":0},"citationItems":[{"id":1155,"uris":["http://zotero.org/users/local/DHziEHyZ/items/ZHT5Z66U"],"itemData":{"id":1155,"type":"article-journal","abstract":"This paper aims to improve Bitcoin price direction prediction using a CNN-LSTM model that incorporates various relevant indicators, such as stock market indices, commodity indices, and interest rates. Separate models are trained for predicting price up and down direction and combined to enhance prediction accuracy. We utilize binary classification models to independently analyze the impact of different features, verified through explainable artificial intelligence techniques. Additionally, an investment strategy based on our model is proposed and compared with traditional strategies, specifically focusing on maximum drawdown relative to the S&amp;P500 buy-and-hold strategy. Results suggest that our strategy offers potential for stable investment in Bitcoin, showcasing its value as a financial asset. This study demonstrates the role of deep learning in Bitcoin price direction prediction and investment strategy development and contributes to future research on cryptocurrency forecasting and investment approaches.","container-title":"Journal of Futures Markets","DOI":"10.1002/fut.70010","ISSN":"1096-9934","issue":"10","language":"en","license":"© 2025 The Author(s). The Journal of Futures Markets published by Wiley Periodicals LLC.","note":"_eprint: https://onlinelibrary.wiley.com/doi/pdf/10.1002/fut.70010","page":"1579-1600","source":"Wiley Online Library","title":"Bitcoin Price Direction Forecasting and Market Variables","volume":"45","author":[{"family":"Kim","given":"Taegyum"},{"family":"Jo","given":"Hyeontae"},{"family":"Choi","given":"Woohyuk"},{"family":"Jang","given":"Bong-Gyu"}],"issued":{"date-parts":[["2025"]]}}}],"schema":"https://github.com/citation-style-language/schema/raw/master/csl-citation.json"} </w:instrText>
      </w:r>
      <w:r w:rsidR="005D4B4A" w:rsidRPr="002A7A03">
        <w:fldChar w:fldCharType="separate"/>
      </w:r>
      <w:r w:rsidR="005D4B4A" w:rsidRPr="002A7A03">
        <w:t>[3]</w:t>
      </w:r>
      <w:r w:rsidR="005D4B4A" w:rsidRPr="002A7A03">
        <w:fldChar w:fldCharType="end"/>
      </w:r>
      <w:r w:rsidR="005D4B4A" w:rsidRPr="002A7A03">
        <w:t>.</w:t>
      </w:r>
      <w:r w:rsidR="005D4B4A">
        <w:t xml:space="preserve"> </w:t>
      </w:r>
      <w:r>
        <w:t xml:space="preserve">In recent years, deep learning models, including recurrent neural networks (RNNs), long short-term memory (LSTM), and GRU, have demonstrated improved performance in time series prediction due to their ability to learn complex temporal dependencies. Among these models, GRU offers a simpler architecture with fewer parameters compared to LSTM, while maintaining competitive predictive capability </w:t>
      </w:r>
      <w:r w:rsidR="005D4B4A" w:rsidRPr="002A7A03">
        <w:fldChar w:fldCharType="begin"/>
      </w:r>
      <w:r w:rsidR="005D4B4A" w:rsidRPr="002A7A03">
        <w:instrText xml:space="preserve"> ADDIN ZOTERO_ITEM CSL_CITATION {"citationID":"vgtInm4K","properties":{"formattedCitation":"[4]","plainCitation":"[4]","noteIndex":0},"citationItems":[{"id":1158,"uris":["http://zotero.org/users/local/DHziEHyZ/items/RB2E5PY2"],"itemData":{"id":1158,"type":"article-journal","abstract":"Accurate prediction of an engineering system behaviour is essential for ensuring a stable and secure long-term operation. It enables proactive problem solving, prevents disruption, enhances safety, and facilitates the seamless integration of new technologies such as digital twins. Consequently, several approaches have been employed to enhance system behaviour prediction by utilizing conventional machine learning models. Moreover, the advent of deep neural networks has proven to be more effective in several scenarios as they offer enhanced prediction accuracy and capacity in handling complex and high-dimensional data. Despite their advantages, deep neural networks encounter challenges in determining the optimal configuration for model structures. Therefore, various optimization techniques such as hyperparameter optimization, activation functions, framework search algorithms, algorithm optimizers, and hybrid frameworks have been proposed to mitigate these challenges. Hence, this study emphasizes recurrent neural networks and their variants, as one of the most popularly utilized frameworks for predictive algorithms. Also, several strategies and techniques for improving the performance of these predictive frameworks have been holistically discussed. By analyzing the state-of-the-art optimization approaches, it serves as a valuable resource for researchers, providing a comprehensive understanding of the approaches that can be employed to optimize prediction accuracy for specific applications and tasks.","container-title":"Applied Soft Computing","DOI":"10.1016/j.asoc.2025.114015","ISSN":"1568-4946","journalAbbreviation":"Applied Soft Computing","page":"114015","source":"ScienceDirect","title":"Optimizing deep learning predictive models: A comprehensive review of RNN and its variant architectures","title-short":"Optimizing deep learning predictive models","volume":"185","author":[{"family":"Adekunle","given":"Andrew Adewunmi"},{"family":"Fofana","given":"Issouf."},{"family":"Picher","given":"Patrick"},{"family":"Rodriguez-Celis","given":"Esperanza Mariela"},{"family":"Arroyo-Fernandez","given":"Oscar Henry"},{"family":"Zemouri","given":"Ryad"}],"issued":{"date-parts":[["2025",12,1]]}}}],"schema":"https://github.com/citation-style-language/schema/raw/master/csl-citation.json"} </w:instrText>
      </w:r>
      <w:r w:rsidR="005D4B4A" w:rsidRPr="002A7A03">
        <w:fldChar w:fldCharType="separate"/>
      </w:r>
      <w:r w:rsidR="005D4B4A" w:rsidRPr="002A7A03">
        <w:t>[4]</w:t>
      </w:r>
      <w:r w:rsidR="005D4B4A" w:rsidRPr="002A7A03">
        <w:fldChar w:fldCharType="end"/>
      </w:r>
      <w:r>
        <w:t>.</w:t>
      </w:r>
    </w:p>
    <w:p w14:paraId="500BC035" w14:textId="3762B4ED" w:rsidR="00A4066B" w:rsidRDefault="00A4066B" w:rsidP="00A4066B">
      <w:r>
        <w:t xml:space="preserve">Despite their advantages, GRU-based models still face limitations when applied directly to raw Bitcoin price series. The original time series typically contains mixed-frequency components, where short-term noise, medium-term oscillations, and long-term trends are superimposed. Learning such heterogeneous patterns simultaneously increases model complexity and may reduce forecasting accuracy. As observed in empirical studies, GRU models trained on raw data often exhibit lagging behavior and higher prediction errors during periods of high volatility </w:t>
      </w:r>
      <w:r w:rsidR="005D4B4A" w:rsidRPr="002A7A03">
        <w:fldChar w:fldCharType="begin"/>
      </w:r>
      <w:r w:rsidR="005D4B4A" w:rsidRPr="002A7A03">
        <w:instrText xml:space="preserve"> ADDIN ZOTERO_ITEM CSL_CITATION {"citationID":"PbHpdCEi","properties":{"formattedCitation":"[5]","plainCitation":"[5]","noteIndex":0},"citationItems":[{"id":1161,"uris":["http://zotero.org/users/local/DHziEHyZ/items/T2J8K3TC"],"itemData":{"id":1161,"type":"article-journal","abstract":"Predicting the pressure in air cyclone centrifugal classifiers is important for analyzing the flow field and improving classification performance, but traditional methods struggle due to the presence of noise in the pressure signals. In this study, a model combining empirical mode decomposition (EMD) and gate recurrent unit (GRU) is proposed and genetic algorithm (GA) is used to further increase the prediction accuracy of the model. The air pressure at the feeding port, fine particle discharge port and coarse particle discharge port of the air classifier are selected for prediction and the intrinsic mode functions (IMFs) with high correlation are selected for the denoising effect using EMD and the Pearson correlation coefficient (PCC). Signal denoising facilitates better feature extraction and simplifies neural network models. The results show that the best prediction among five models is achieved by the EMD-GRU model, with a root mean square error (RMSE) of 0.0549, 0.0177, and 0.0203 for the three ports. In addition, the effects of different parameters on the classification efficiency of the air classifier are investigated. The results reveal that the air classifier can achieve the best classification effect when the rotational frequency is 10.83 Hz, the feeding rate is 0.4 kg/s and the inclination angle is −4°. This study introduces a new idea for pressure prediction and flow field simulation in air classifiers and provides a new reference for optimizing the classification performance of air cyclone centrifugal classifiers.","container-title":"Advanced Powder Technology","DOI":"10.1016/j.apt.2024.104743","ISSN":"0921-8831","issue":"1","journalAbbreviation":"Advanced Powder Technology","page":"104743","source":"ScienceDirect","title":"A hybrid EMD-GRU model for pressure prediction in air cyclone centrifugal classifiers","volume":"36","author":[{"family":"Jiang","given":"Haishen"},{"family":"Li","given":"Wenhao"},{"family":"Liu","given":"Yuhan"},{"family":"Liu","given":"Runyu"},{"family":"Yang","given":"Yadong"},{"family":"Duan","given":"Chenlong"},{"family":"Huang","given":"Long"}],"issued":{"date-parts":[["2025",1,1]]}}}],"schema":"https://github.com/citation-style-language/schema/raw/master/csl-citation.json"} </w:instrText>
      </w:r>
      <w:r w:rsidR="005D4B4A" w:rsidRPr="002A7A03">
        <w:fldChar w:fldCharType="separate"/>
      </w:r>
      <w:r w:rsidR="005D4B4A" w:rsidRPr="002A7A03">
        <w:t>[5]</w:t>
      </w:r>
      <w:r w:rsidR="005D4B4A" w:rsidRPr="002A7A03">
        <w:fldChar w:fldCharType="end"/>
      </w:r>
      <w:r>
        <w:t>.</w:t>
      </w:r>
    </w:p>
    <w:p w14:paraId="6DD99030" w14:textId="434F4C05" w:rsidR="00A4066B" w:rsidRDefault="00A4066B" w:rsidP="00A4066B">
      <w:r>
        <w:t xml:space="preserve">To address these challenges, this study proposes a hybrid forecasting framework that integrates EMD with GRU. EMD is an adaptive signal decomposition technique that decomposes a non-stationary time series into a set of IMFs, each representing oscillatory modes at different frequency scales </w:t>
      </w:r>
      <w:r w:rsidR="005D4B4A" w:rsidRPr="002A7A03">
        <w:fldChar w:fldCharType="begin"/>
      </w:r>
      <w:r w:rsidR="005D4B4A" w:rsidRPr="002A7A03">
        <w:instrText xml:space="preserve"> ADDIN ZOTERO_ITEM CSL_CITATION {"citationID":"GZ0wxjmZ","properties":{"formattedCitation":"[6]","plainCitation":"[6]","noteIndex":0},"citationItems":[{"id":1164,"uris":["http://zotero.org/users/local/DHziEHyZ/items/ICFDHSJE"],"itemData":{"id":1164,"type":"article-journal","abstract":"Empirical mode decomposition (EMD) has developed into a prominent tool for adaptive, scale-based signal analysis in various fields like robotics, security and biomedical engineering. Since the dramatic increase in amount of data puts forward higher requirements for the capability of real-time signal analysis, it is difficult for existing EMD and its variants to trade off the growth of data dimension and the speed of signal analysis. In order to decompose multi-dimensional signals at a faster speed, we present a novel signal-serialization method (serial-EMD), which concatenates multi-variate or multi-dimensional signals into a one-dimensional signal and uses various one-dimensional EMD algorithms to decompose it. To verify the effects of the proposed method, synthetic multi-variate time series, artificial 2D images with various textures and real-world facial images are tested. Compared with existing multi-EMD algorithms, the decomposition time becomes significantly reduced. In addition, the results of facial recognition with Intrinsic Mode Functions (IMFs) extracted using our method can achieve a higher accuracy than those obtained by existing multi-EMD algorithms, which demonstrates the superior performance of our method in terms of the quality of IMFs. Furthermore, this method can provide a new perspective to optimize the existing EMD algorithms, that is, transforming the structure of the input signal rather than being constrained by developing envelope computation techniques or signal decomposition methods. In summary, the study suggests that the serial-EMD technique is a highly competitive and fast alternative for multi-dimensional signal analysis.","container-title":"Information Sciences","DOI":"10.1016/j.ins.2021.09.033","ISSN":"0020-0255","journalAbbreviation":"Information Sciences","page":"215-232","source":"ScienceDirect","title":"Serial-EMD: Fast empirical mode decomposition method for multi-dimensional signals based on serialization","title-short":"Serial-EMD","volume":"581","author":[{"family":"Zhang","given":"Jin"},{"family":"Feng","given":"Fan"},{"family":"Marti-Puig","given":"Pere"},{"family":"Caiafa","given":"Cesar F."},{"family":"Sun","given":"Zhe"},{"family":"Duan","given":"Feng"},{"family":"Solé-Casals","given":"Jordi"}],"issued":{"date-parts":[["2021",12,1]]}}}],"schema":"https://github.com/citation-style-language/schema/raw/master/csl-citation.json"} </w:instrText>
      </w:r>
      <w:r w:rsidR="005D4B4A" w:rsidRPr="002A7A03">
        <w:fldChar w:fldCharType="separate"/>
      </w:r>
      <w:r w:rsidR="005D4B4A" w:rsidRPr="002A7A03">
        <w:t>[6]</w:t>
      </w:r>
      <w:r w:rsidR="005D4B4A" w:rsidRPr="002A7A03">
        <w:fldChar w:fldCharType="end"/>
      </w:r>
      <w:r>
        <w:t>. By transforming the original complex signal into multiple simpler components, EMD enables the GRU model to learn distinct temporal patterns more effectively. In the proposed EMD-GRU framework, individual GRU models are trained on each decomposed component, and the final prediction is reconstructed by aggregating the outputs of all components.</w:t>
      </w:r>
    </w:p>
    <w:p w14:paraId="4E7D6099" w14:textId="77777777" w:rsidR="00A4066B" w:rsidRDefault="00A4066B" w:rsidP="00A4066B">
      <w:r>
        <w:t>The effectiveness of the proposed approach is validated using daily Bitcoin price data obtained from Yahoo Finance. Experimental results demonstrate that the EMD-GRU model significantly outperforms the baseline GRU model across multiple evaluation metrics. Specifically, the proposed method reduces the RMSE from 9519.78 to 5422.74 and improves the R² from 0.887 to 0.963. These findings suggest that decomposition-based learning enhances the capability of deep neural networks in modeling complex financial time series.</w:t>
      </w:r>
    </w:p>
    <w:p w14:paraId="3AEF9B6F" w14:textId="0513542E" w:rsidR="009B1D59" w:rsidRDefault="00A4066B" w:rsidP="00A4066B">
      <w:r>
        <w:t>The remainder of this paper is organized as follows. Section 2 reviews related work on Bitcoin price forecasting, deep learning models, and decomposition-based methods. Section 3 describes the proposed EMD-GRU methodology in detail. Section 4 presents the experimental setup and results. Section 5 discusses the findings, and Section 6 concludes the paper with directions for future research.</w:t>
      </w:r>
    </w:p>
    <w:p w14:paraId="152AC09A" w14:textId="77777777" w:rsidR="009B1D59" w:rsidRPr="009A3755" w:rsidRDefault="007131A7" w:rsidP="009B1D59">
      <w:pPr>
        <w:pStyle w:val="heading10"/>
      </w:pPr>
      <w:r>
        <w:t>2</w:t>
      </w:r>
      <w:r w:rsidR="009B1D59" w:rsidRPr="009A3755">
        <w:t xml:space="preserve">   </w:t>
      </w:r>
      <w:r w:rsidR="00A4066B" w:rsidRPr="00A4066B">
        <w:t>Related Work</w:t>
      </w:r>
    </w:p>
    <w:p w14:paraId="242B8E2B" w14:textId="3708B34A" w:rsidR="00A4066B" w:rsidRDefault="00A4066B" w:rsidP="00A4066B">
      <w:pPr>
        <w:pStyle w:val="p1a"/>
      </w:pPr>
      <w:r>
        <w:t>Bitcoin price forecasting remains a challenging problem due to its nonlinear, non-stationary, and highly volatile characteristics. Recent surveys indicate that although deep learning has become dominant in financial time series forecasting, improvements in predictive performance are often incremental and strongly dependent on data preprocessing rather than model architecture alone</w:t>
      </w:r>
      <w:r w:rsidR="002A7A03">
        <w:t xml:space="preserve"> </w:t>
      </w:r>
      <w:r w:rsidR="002A7A03" w:rsidRPr="002A7A03">
        <w:fldChar w:fldCharType="begin"/>
      </w:r>
      <w:r w:rsidR="002A7A03" w:rsidRPr="002A7A03">
        <w:instrText xml:space="preserve"> ADDIN ZOTERO_ITEM CSL_CITATION {"citationID":"atoUasxe","properties":{"formattedCitation":"[7]","plainCitation":"[7]","noteIndex":0},"citationItems":[{"id":1092,"uris":["http://zotero.org/users/local/DHziEHyZ/items/MAMC6EIS"],"itemData":{"id":1092,"type":"article-journal","abstract":"Financial time series forecasting is undoubtedly the top choice of computational intelligence for finance researchers in both academia and the finance industry due to its broad implementation areas and substantial impact. Machine Learning (ML) researchers have created various models, and a vast number of studies have been published accordingly. As such, a significant number of surveys exist covering ML studies on financial time series forecasting. Lately, Deep Learning (DL) models have appeared within the field, with results that significantly outperform their traditional ML counterparts. Even though there is a growing interest in developing models for financial time series forecasting, there is a lack of review papers that solely focus on DL for finance. Hence, the motivation of this paper is to provide a comprehensive literature review of DL studies on financial time series forecasting implementation. We not only categorized the studies according to their intended forecasting implementation areas, such as index, forex, and commodity forecasting, but we also grouped them based on their DL model choices, such as Convolutional Neural Networks (CNNs), Deep Belief Networks (DBNs), and Long-Short Term Memory (LSTM). We also tried to envision the future of the field by highlighting its possible setbacks and opportunities for the benefit of interested researchers.","container-title":"Applied Soft Computing","DOI":"10.1016/j.asoc.2020.106181","ISSN":"1568-4946","journalAbbreviation":"Applied Soft Computing","page":"106181","source":"ScienceDirect","title":"Financial time series forecasting with deep learning : A systematic literature review: 2005–2019","title-short":"Financial time series forecasting with deep learning","volume":"90","author":[{"family":"Sezer","given":"Omer Berat"},{"family":"Gudelek","given":"Mehmet Ugur"},{"family":"Ozbayoglu","given":"Ahmet Murat"}],"issued":{"date-parts":[["2020",5,1]]}}}],"schema":"https://github.com/citation-style-language/schema/raw/master/csl-citation.json"} </w:instrText>
      </w:r>
      <w:r w:rsidR="002A7A03" w:rsidRPr="002A7A03">
        <w:fldChar w:fldCharType="separate"/>
      </w:r>
      <w:r w:rsidR="002A7A03" w:rsidRPr="002A7A03">
        <w:t>[7]</w:t>
      </w:r>
      <w:r w:rsidR="002A7A03" w:rsidRPr="002A7A03">
        <w:fldChar w:fldCharType="end"/>
      </w:r>
      <w:r w:rsidR="002A7A03" w:rsidRPr="002A7A03">
        <w:t xml:space="preserve">, </w:t>
      </w:r>
      <w:r w:rsidR="002A7A03" w:rsidRPr="002A7A03">
        <w:fldChar w:fldCharType="begin"/>
      </w:r>
      <w:r w:rsidR="002A7A03" w:rsidRPr="002A7A03">
        <w:instrText xml:space="preserve"> ADDIN ZOTERO_ITEM CSL_CITATION {"citationID":"IRY1OpIN","properties":{"formattedCitation":"[8]","plainCitation":"[8]","noteIndex":0},"citationItems":[{"id":1095,"uris":["http://zotero.org/users/local/DHziEHyZ/items/YGY3MXBD"],"itemData":{"id":1095,"type":"article-journal","abstract":"Cryptocurrencies are decentralized electronic counterparts of government-issued money. The first and best-known cryptocurrency example is bitcoin. Cryptocurrencies are used to make transactions anonymously and securely over the internet. The decentralization behavior of a cryptocurrency has radically reduced central control over them, thereby influencing international trade and relations. Wide fluctuations in cryptocurrency prices motivate the urgent requirement for an accurate model to predict its price. Cryptocurrency price prediction is one of the trending areas among researchers. Research work in this field uses traditional statistical and machine-learning techniques, such as Bayesian regression, logistic regression, linear regression, support vector machine, artificial neural network, deep learning, and reinforcement learning. No seasonal effects exist in cryptocurrency, making it hard to predict using a statistical approach. Traditional statistical methods, although simple to implement and interpret, require a lot of statistical assumptions that could be unrealistic, leaving machine learning as the best technology in this field, being capable of predicting price based on experience. This article provides a comprehensive summary of the previous studies in the field of cryptocurrency price prediction from 2010 to 2020. The discussion presented in this article will help researchers to fill the gap in existing studies and gain more future insight.","container-title":"Intelligent Systems in Accounting, Finance and Management","DOI":"10.1002/isaf.1488","ISSN":"2160-0074","issue":"1","language":"en","license":"© 2021 John Wiley &amp; Sons, Ltd.","note":"_eprint: https://onlinelibrary.wiley.com/doi/pdf/10.1002/isaf.1488","page":"3-34","source":"Wiley Online Library","title":"Cryptocurrency price prediction using traditional statistical and machine-learning techniques: A survey","title-short":"Cryptocurrency price prediction using traditional statistical and machine-learning techniques","volume":"28","author":[{"family":"Khedr","given":"Ahmed M."},{"family":"Arif","given":"Ifra"},{"family":"P V","given":"Pravija Raj"},{"family":"El-Bannany","given":"Magdi"},{"family":"Alhashmi","given":"Saadat M."},{"family":"Sreedharan","given":"Meenu"}],"issued":{"date-parts":[["2021"]]}}}],"schema":"https://github.com/citation-style-language/schema/raw/master/csl-citation.json"} </w:instrText>
      </w:r>
      <w:r w:rsidR="002A7A03" w:rsidRPr="002A7A03">
        <w:fldChar w:fldCharType="separate"/>
      </w:r>
      <w:r w:rsidR="002A7A03" w:rsidRPr="002A7A03">
        <w:t>[8]</w:t>
      </w:r>
      <w:r w:rsidR="002A7A03" w:rsidRPr="002A7A03">
        <w:fldChar w:fldCharType="end"/>
      </w:r>
      <w:r w:rsidR="002A7A03" w:rsidRPr="002A7A03">
        <w:t>.</w:t>
      </w:r>
      <w:r>
        <w:t xml:space="preserve"> This suggests that current research may overemphasize model complexity while underexploring signal representation.</w:t>
      </w:r>
    </w:p>
    <w:p w14:paraId="35F9C045" w14:textId="16B388AC" w:rsidR="00A4066B" w:rsidRDefault="00A4066B" w:rsidP="00A4066B">
      <w:r>
        <w:t xml:space="preserve">Early studies demonstrated that recurrent neural networks can capture temporal dependencies in Bitcoin prices. McNally et al. showed that LSTM-based models </w:t>
      </w:r>
      <w:r>
        <w:lastRenderedPageBreak/>
        <w:t xml:space="preserve">outperform traditional approaches in short-term prediction tasks </w:t>
      </w:r>
      <w:r w:rsidR="002A7A03" w:rsidRPr="002A7A03">
        <w:fldChar w:fldCharType="begin"/>
      </w:r>
      <w:r w:rsidR="002A7A03" w:rsidRPr="002A7A03">
        <w:instrText xml:space="preserve"> ADDIN ZOTERO_ITEM CSL_CITATION {"citationID":"sQI58Rd3","properties":{"formattedCitation":"[9]","plainCitation":"[9]","noteIndex":0},"citationItems":[{"id":1101,"uris":["http://zotero.org/users/local/DHziEHyZ/items/C9P7XPJ6"],"itemData":{"id":1101,"type":"article-journal","abstract":"This research is concerned with predicting the price of Bitcoin using machine learning. The goal is to ascertain with what accuracy can the direction of Bitcoin price in USD can be predicted. The price data is sourced from the Bitcoin Price Index . The task is achieved with varying degrees of success through the implementation of a Bayesian optimised recurrent neural network (RNN) and Long Short Term Memory (LSTM) network. The LSTM achieves the highest classiﬁcation accuracy of 52% and a RMSE of 8%. The popular ARIMA model for time series forecasting is implemented as a comparison to the deep learning models. As expected, the non-linear deep learning methods outperform the ARIMA forecast which performs poorly. Wavelets are explored as part of the time series narrative but not implemented for prediction purposes. Finally, both deep learning models are benchmarked on both a GPU and a CPU with the training time on the GPU outperforming the CPU implementation by 67.7%.","language":"en","source":"Zotero","title":"Predicting the price of Bitcoin using Machine Learning","author":[{"family":"McNally","given":"Sean"}]}}],"schema":"https://github.com/citation-style-language/schema/raw/master/csl-citation.json"} </w:instrText>
      </w:r>
      <w:r w:rsidR="002A7A03" w:rsidRPr="002A7A03">
        <w:fldChar w:fldCharType="separate"/>
      </w:r>
      <w:r w:rsidR="002A7A03" w:rsidRPr="002A7A03">
        <w:t>[9]</w:t>
      </w:r>
      <w:r w:rsidR="002A7A03" w:rsidRPr="002A7A03">
        <w:fldChar w:fldCharType="end"/>
      </w:r>
      <w:r w:rsidR="002A7A03" w:rsidRPr="002A7A03">
        <w:t>.</w:t>
      </w:r>
      <w:r>
        <w:t xml:space="preserve"> However, subsequent work revealed that such improvements are not consistently robust across datasets. For example, Mudassir et al. found that predictive performance often depends more on feature engineering than on model capability itself </w:t>
      </w:r>
      <w:r w:rsidR="002A7A03" w:rsidRPr="002A7A03">
        <w:fldChar w:fldCharType="begin"/>
      </w:r>
      <w:r w:rsidR="002A7A03" w:rsidRPr="002A7A03">
        <w:instrText xml:space="preserve"> ADDIN ZOTERO_ITEM CSL_CITATION {"citationID":"P7XDklZ5","properties":{"formattedCitation":"[10]","plainCitation":"[10]","noteIndex":0},"citationItems":[{"id":1102,"uris":["http://zotero.org/users/local/DHziEHyZ/items/UZS4KTEY"],"itemData":{"id":1102,"type":"article-journal","abstract":"Bitcoin is a decentralized cryptocurrency, which is a type of digital asset that provides the basis for peer-to-peer financial transactions based on blockchain technology. One of the main problems with decentralized cryptocurrencies is price volatility, which indicates the need for studying the underlying price model. Moreover, Bitcoin prices exhibit non-stationary behavior, where the statistical distribution of data changes over time. This paper demonstrates high-performance machine learning-based classification and regression models for predicting Bitcoin price movements and prices in short and medium terms. In previous works, machine learning-based classification has been studied for an only one-day time frame, while this work goes beyond that by using machine learning-based models for one, seven, thirty and ninety days. The developed models are feasible and have high performance, with the classification models scoring up to 65% accuracy for next-day forecast and scoring from 62 to 64% accuracy for seventh–ninetieth-day forecast. For daily price forecast, the error percentage is as low as 1.44%, while it varies from 2.88 to 4.10% for horizons of seven to ninety days. These results indicate that the presented models outperform the existing models in the literature.","container-title":"Neural Computing and Applications","DOI":"10.1007/s00521-020-05129-6","ISSN":"1433-3058","issue":"28","journalAbbreviation":"Neural Comput &amp; Applic","language":"en","page":"22979-22993","source":"Springer Link","title":"Time-series forecasting of Bitcoin prices using high-dimensional features: a machine learning approach","title-short":"Time-series forecasting of Bitcoin prices using high-dimensional features","volume":"37","author":[{"family":"Mudassir","given":"Mohammed"},{"family":"Bennbaia","given":"Shada"},{"family":"Unal","given":"Devrim"},{"family":"Hammoudeh","given":"Mohammad"}],"issued":{"date-parts":[["2025",10,1]]}}}],"schema":"https://github.com/citation-style-language/schema/raw/master/csl-citation.json"} </w:instrText>
      </w:r>
      <w:r w:rsidR="002A7A03" w:rsidRPr="002A7A03">
        <w:fldChar w:fldCharType="separate"/>
      </w:r>
      <w:r w:rsidR="002A7A03" w:rsidRPr="002A7A03">
        <w:t>[10]</w:t>
      </w:r>
      <w:r w:rsidR="002A7A03" w:rsidRPr="002A7A03">
        <w:fldChar w:fldCharType="end"/>
      </w:r>
      <w:r w:rsidR="002A7A03" w:rsidRPr="002A7A03">
        <w:t>.</w:t>
      </w:r>
      <w:r>
        <w:t xml:space="preserve"> This indicates that learning directly from raw or feature-augmented series may not fully address the inherent complexity of Bitcoin price dynamics.</w:t>
      </w:r>
    </w:p>
    <w:p w14:paraId="4951D6D5" w14:textId="247F15B8" w:rsidR="00A4066B" w:rsidRDefault="00A4066B" w:rsidP="00A4066B">
      <w:r>
        <w:t xml:space="preserve">More recent research has focused on enhancing deep learning architectures and incorporating additional input features. Lamothe-Fernández et al. demonstrated that using multiple explanatory variables improves prediction accuracy </w:t>
      </w:r>
      <w:r w:rsidR="002A7A03" w:rsidRPr="002A7A03">
        <w:fldChar w:fldCharType="begin"/>
      </w:r>
      <w:r w:rsidR="002A7A03" w:rsidRPr="002A7A03">
        <w:instrText xml:space="preserve"> ADDIN ZOTERO_ITEM CSL_CITATION {"citationID":"JYcQl2pV","properties":{"formattedCitation":"[11]","plainCitation":"[11]","noteIndex":0},"citationItems":[{"id":1104,"uris":["http://zotero.org/users/local/DHziEHyZ/items/WURSRR8I"],"itemData":{"id":1104,"type":"article-journal","container-title":"Mathematics","DOI":"10.3390/math8081245","source":"sci-hub.vn","title":"Deep Learning Methods for Modeling Bitcoin Price","URL":"https://sci-hub.vn/10.3390/math8081245","author":[{"family":"Lamothe-Fernández","given":"Prosper"},{"family":"Alaminos","given":"David"},{"family":"Lamothe-López","given":"Prosper"},{"family":"Fernández-Gámez","given":"Manuel A."}],"accessed":{"date-parts":[["2026",3,19]]},"issued":{"date-parts":[["2020"]]}}}],"schema":"https://github.com/citation-style-language/schema/raw/master/csl-citation.json"} </w:instrText>
      </w:r>
      <w:r w:rsidR="002A7A03" w:rsidRPr="002A7A03">
        <w:fldChar w:fldCharType="separate"/>
      </w:r>
      <w:r w:rsidR="002A7A03" w:rsidRPr="002A7A03">
        <w:t>[11]</w:t>
      </w:r>
      <w:r w:rsidR="002A7A03" w:rsidRPr="002A7A03">
        <w:fldChar w:fldCharType="end"/>
      </w:r>
      <w:r>
        <w:t xml:space="preserve">. Similarly, Liu et al. reported that deep learning models benefit from richer input representations </w:t>
      </w:r>
      <w:r w:rsidR="002A7A03" w:rsidRPr="002A7A03">
        <w:fldChar w:fldCharType="begin"/>
      </w:r>
      <w:r w:rsidR="002A7A03" w:rsidRPr="002A7A03">
        <w:instrText xml:space="preserve"> ADDIN ZOTERO_ITEM CSL_CITATION {"citationID":"YzQLbDke","properties":{"formattedCitation":"[12]","plainCitation":"[12]","noteIndex":0},"citationItems":[{"id":1106,"uris":["http://zotero.org/users/local/DHziEHyZ/items/KET2AGW3"],"itemData":{"id":1106,"type":"article-journal","abstract":"After constructing a feature system with 40 determinants that affect the price of Bitcoin considering aspects of the cryptocurrency market, public attention, and the macroeconomic environment, a deep learning method named stacked denoising autoencoders (SDAE) is utilized to predict the price of Bitcoin. The results show that compared with the most popular machine learning methods, such as back propagation neural network (BPNN) and support vector regression (SVR) methods, the SDAE model performs better in both directional and level prediction, measured using commonly used indicators, i.e., mean absolute percentage error (MAPE), root mean squared error (RMSE), and directional accuracy (DA).","container-title":"Finance Research Letters","DOI":"10.1016/j.frl.2020.101755","ISSN":"1544-6123","journalAbbreviation":"Finance Research Letters","page":"101755","source":"ScienceDirect","title":"Forecasting the price of Bitcoin using deep learning","volume":"40","author":[{"family":"Liu","given":"Mingxi"},{"family":"Li","given":"Guowen"},{"family":"Li","given":"Jianping"},{"family":"Zhu","given":"Xiaoqian"},{"family":"Yao","given":"Yinhong"}],"issued":{"date-parts":[["2021",5,1]]}}}],"schema":"https://github.com/citation-style-language/schema/raw/master/csl-citation.json"} </w:instrText>
      </w:r>
      <w:r w:rsidR="002A7A03" w:rsidRPr="002A7A03">
        <w:fldChar w:fldCharType="separate"/>
      </w:r>
      <w:r w:rsidR="002A7A03" w:rsidRPr="002A7A03">
        <w:t>[12]</w:t>
      </w:r>
      <w:r w:rsidR="002A7A03" w:rsidRPr="002A7A03">
        <w:fldChar w:fldCharType="end"/>
      </w:r>
      <w:r>
        <w:t>. However, these approaches increase model complexity and reduce interpretability. More importantly, they do not address the fundamental issue that Bitcoin price series consist of mixed-frequency components, which remain entangled in the input data.</w:t>
      </w:r>
    </w:p>
    <w:p w14:paraId="63AB72F5" w14:textId="2B979961" w:rsidR="00A4066B" w:rsidRDefault="00A4066B" w:rsidP="00A4066B">
      <w:r>
        <w:t xml:space="preserve">GRU has emerged as an efficient alternative to LSTM due to its simpler structure and competitive performance. Dutta et al. showed that GRU achieves comparable accuracy with fewer parameters </w:t>
      </w:r>
      <w:r w:rsidR="002A7A03" w:rsidRPr="002A7A03">
        <w:fldChar w:fldCharType="begin"/>
      </w:r>
      <w:r w:rsidR="002A7A03" w:rsidRPr="002A7A03">
        <w:instrText xml:space="preserve"> ADDIN ZOTERO_ITEM CSL_CITATION {"citationID":"E3Gi3Ggw","properties":{"formattedCitation":"[13]","plainCitation":"[13]","noteIndex":0},"citationItems":[{"id":1113,"uris":["http://zotero.org/users/local/DHziEHyZ/items/LHUN9C6B"],"itemData":{"id":1113,"type":"article-journal","abstract":"In today’s era of big data, deep learning and artificial intelligence have formed the backbone for cryptocurrency portfolio optimization. Researchers ...","container-title":"Journal of Risk and Financial Management","DOI":"10.3390/jrfm13020023","ISSN":"1911-8074","issue":"2","language":"en","license":"http://creativecommons.org/licenses/by/3.0/","publisher":"Multidisciplinary Digital Publishing Institute","source":"www.mdpi.com","title":"A Gated Recurrent Unit Approach to Bitcoin Price Prediction","URL":"https://www.mdpi.com/1911-8074/13/2/23","volume":"13","author":[{"family":"Dutta","given":"Aniruddha"},{"family":"Kumar","given":"Saket"},{"family":"Basu","given":"Meheli"}],"accessed":{"date-parts":[["2026",3,19]]},"issued":{"date-parts":[["2020",2,3]]}}}],"schema":"https://github.com/citation-style-language/schema/raw/master/csl-citation.json"} </w:instrText>
      </w:r>
      <w:r w:rsidR="002A7A03" w:rsidRPr="002A7A03">
        <w:fldChar w:fldCharType="separate"/>
      </w:r>
      <w:r w:rsidR="002A7A03" w:rsidRPr="002A7A03">
        <w:t>[13]</w:t>
      </w:r>
      <w:r w:rsidR="002A7A03" w:rsidRPr="002A7A03">
        <w:fldChar w:fldCharType="end"/>
      </w:r>
      <w:r>
        <w:t xml:space="preserve">. </w:t>
      </w:r>
      <w:proofErr w:type="spellStart"/>
      <w:r>
        <w:t>Hansun</w:t>
      </w:r>
      <w:proofErr w:type="spellEnd"/>
      <w:r>
        <w:t xml:space="preserve"> et al. further confirmed that GRU performs effectively in multivariate cryptocurrency prediction </w:t>
      </w:r>
      <w:r w:rsidR="002A7A03" w:rsidRPr="002A7A03">
        <w:fldChar w:fldCharType="begin"/>
      </w:r>
      <w:r w:rsidR="002A7A03" w:rsidRPr="002A7A03">
        <w:instrText xml:space="preserve"> ADDIN ZOTERO_ITEM CSL_CITATION {"citationID":"kmbJ1NMX","properties":{"formattedCitation":"[14]","plainCitation":"[14]","noteIndex":0},"citationItems":[{"id":1115,"uris":["http://zotero.org/users/local/DHziEHyZ/items/F994M96Z"],"itemData":{"id":1115,"type":"article-journal","abstract":"As a new type of currency introduced in the new millennium, cryptocurrency has established its ecosystems and attracts many people to use and invest in it. However, cryptocurrencies are highly dynamic and volatile, making it challenging to predict their future values. In this research, we use a multivariate prediction approach and three different recurrent neural networks (RNNs), namely the long short-term memory (LSTM), the bidirectional LSTM (Bi-LSTM), and the gated recurrent unit (GRU). We also propose simple three layers deep networks architecture for the regression task in this study. From the experimental results on five major cryptocurrencies, i.e., Bitcoin (BTC), Ethereum (ETH), Cardano (ADA), Tether (USDT), and Binance Coin (BNB), we find that both Bi-LSTM and GRU have similar performance results in terms of accuracy. However, in terms of the execution time, both LSTM and GRU have similar results, where GRU is slightly better and has lower variation results on average.","container-title":"Journal of Big Data","DOI":"10.1186/s40537-022-00601-7","ISSN":"2196-1115","issue":"1","journalAbbreviation":"J Big Data","language":"en","page":"50","source":"Springer Link","title":"Multivariate cryptocurrency prediction: comparative analysis of three recurrent neural networks approaches","title-short":"Multivariate cryptocurrency prediction","volume":"9","author":[{"family":"Hansun","given":"Seng"},{"family":"Wicaksana","given":"Arya"},{"family":"Khaliq","given":"Abdul Q. M."}],"issued":{"date-parts":[["2022",4,28]]}}}],"schema":"https://github.com/citation-style-language/schema/raw/master/csl-citation.json"} </w:instrText>
      </w:r>
      <w:r w:rsidR="002A7A03" w:rsidRPr="002A7A03">
        <w:fldChar w:fldCharType="separate"/>
      </w:r>
      <w:r w:rsidR="002A7A03" w:rsidRPr="002A7A03">
        <w:t>[14]</w:t>
      </w:r>
      <w:r w:rsidR="002A7A03" w:rsidRPr="002A7A03">
        <w:fldChar w:fldCharType="end"/>
      </w:r>
      <w:r>
        <w:t xml:space="preserve">. Recent comparative studies also identify GRU as a strong baseline among deep learning models </w:t>
      </w:r>
      <w:r w:rsidR="002A7A03" w:rsidRPr="002A7A03">
        <w:fldChar w:fldCharType="begin"/>
      </w:r>
      <w:r w:rsidR="002A7A03" w:rsidRPr="002A7A03">
        <w:instrText xml:space="preserve"> ADDIN ZOTERO_ITEM CSL_CITATION {"citationID":"3DWUF9p6","properties":{"formattedCitation":"[15]","plainCitation":"[15]","noteIndex":0},"citationItems":[{"id":1117,"uris":["http://zotero.org/users/local/DHziEHyZ/items/JL8NDS66"],"itemData":{"id":1117,"type":"article-journal","abstract":"Cryptocurrency price forecasting is attracting considerable interest due to its crucial decision support role in investment strategies. Large fluctuations in non-stationary cryptocurrency prices motivate the urgent need for accurate forecasting models. The lack of seasonal effects and the need to meet a number of unrealistic requirements make it difficult to make accurate forecasts using traditional statistical methods, leaving machine learning, particularly ensemble and deep learning, as the best technology in the area of cryptocurrency price forecasting. This is the first work to provide a comprehensive comparative analysis of ensemble learning and deep learning forecasting models, examining their relative performance on various cryptocurrencies (Bitcoin, Ethereum, Ripple, and Litecoin) and exploring their potential trading applications. The results of this study reveal that gated recurrent unit, simple recurrent neural network, and LightGBM methods outperform other machine learning methods, as well as the naive buy-and-hold and random walk strategies. This can effectively guide investors in the cryptocurrency markets.","container-title":"International Review of Financial Analysis","DOI":"10.1016/j.irfa.2023.103055","ISSN":"1057-5219","journalAbbreviation":"International Review of Financial Analysis","page":"103055","source":"ScienceDirect","title":"Cryptocurrency price forecasting – A comparative analysis of ensemble learning and deep learning methods","volume":"92","author":[{"family":"Bouteska","given":"Ahmed"},{"family":"Abedin","given":"Mohammad Zoynul"},{"family":"Hajek","given":"Petr"},{"family":"Yuan","given":"Kunpeng"}],"issued":{"date-parts":[["2024",3,1]]}}}],"schema":"https://github.com/citation-style-language/schema/raw/master/csl-citation.json"} </w:instrText>
      </w:r>
      <w:r w:rsidR="002A7A03" w:rsidRPr="002A7A03">
        <w:fldChar w:fldCharType="separate"/>
      </w:r>
      <w:r w:rsidR="002A7A03" w:rsidRPr="002A7A03">
        <w:t>[15]</w:t>
      </w:r>
      <w:r w:rsidR="002A7A03" w:rsidRPr="002A7A03">
        <w:fldChar w:fldCharType="end"/>
      </w:r>
      <w:r w:rsidR="002A7A03" w:rsidRPr="002A7A03">
        <w:t xml:space="preserve">, </w:t>
      </w:r>
      <w:r w:rsidR="002A7A03" w:rsidRPr="002A7A03">
        <w:fldChar w:fldCharType="begin"/>
      </w:r>
      <w:r w:rsidR="002A7A03" w:rsidRPr="002A7A03">
        <w:instrText xml:space="preserve"> ADDIN ZOTERO_ITEM CSL_CITATION {"citationID":"1W81AWjN","properties":{"formattedCitation":"[16]","plainCitation":"[16]","noteIndex":0},"citationItems":[{"id":1120,"uris":["http://zotero.org/users/local/DHziEHyZ/items/BXU5QBAP"],"itemData":{"id":1120,"type":"article-journal","abstract":"The emergence of cryptocurrencies has drawn significant investment capital in recent years with an exponential increase in market capitalization and trade volume. However, the cryptocurrency market is highly volatile and burdened with substantial heterogeneous datasets characterized by complex interactions between predictors, which may be difficult for conventional techniques to achieve optimal results. In addition, volatility significantly impacts investment decisions; thus, investors are confronted with how to determine the price and assess their financial investment risks reasonably. This study investigates the performance evaluation of a genetic algorithm tuned Deep Learning (DL) and boosted tree-based techniques to predict several cryptocurrencies' closing prices. The DL models include Convolutional Neural Networks (CNN), Deep Forward Neural Networks, and Gated Recurrent Units. The study assesses the performance of the DL models with boosted tree-based models on six cryptocurrency datasets from multiple data sources using relevant performance metrics. The results reveal that the CNN model has the least mean average percentage error of 0.08 and produces a consistent and highest explained variance score of 0.96 (on average) compared to other models. Hence, CNN is more reliable with limited training data and easily generalizable for predicting several cryptocurrencies' daily closing prices. Also, the results will help practitioners obtain a better understanding of crypto market challenges and offer practical strategies to lower risks.","container-title":"Expert Systems with Applications","DOI":"10.1016/j.eswa.2022.119233","ISSN":"0957-4174","journalAbbreviation":"Expert Systems with Applications","page":"119233","source":"ScienceDirect","title":"Performance evaluation of deep learning and boosted trees for cryptocurrency closing price prediction","volume":"213","author":[{"family":"Oyedele","given":"Azeez A."},{"family":"Ajayi","given":"Anuoluwapo O."},{"family":"Oyedele","given":"Lukumon O."},{"family":"Bello","given":"Sururah A."},{"family":"Jimoh","given":"Kudirat O."}],"issued":{"date-parts":[["2023",3,1]]}}}],"schema":"https://github.com/citation-style-language/schema/raw/master/csl-citation.json"} </w:instrText>
      </w:r>
      <w:r w:rsidR="002A7A03" w:rsidRPr="002A7A03">
        <w:fldChar w:fldCharType="separate"/>
      </w:r>
      <w:r w:rsidR="002A7A03" w:rsidRPr="002A7A03">
        <w:t>[16]</w:t>
      </w:r>
      <w:r w:rsidR="002A7A03" w:rsidRPr="002A7A03">
        <w:fldChar w:fldCharType="end"/>
      </w:r>
      <w:r>
        <w:t>. Nevertheless, these studies primarily focus on model benchmarking rather than improving the structure of the input signal. As a result, GRU models still struggle to capture heterogeneous temporal patterns when trained on raw data.</w:t>
      </w:r>
    </w:p>
    <w:p w14:paraId="43660914" w14:textId="2EC6BE64" w:rsidR="00A4066B" w:rsidRDefault="00A4066B" w:rsidP="00A4066B">
      <w:r>
        <w:t xml:space="preserve">To address signal complexity, decomposition-based approaches have been introduced. EMD, proposed by Huang et al., provides an adaptive method for decomposing nonlinear and non-stationary signals into intrinsic mode functions </w:t>
      </w:r>
      <w:r w:rsidR="002A7A03" w:rsidRPr="002A7A03">
        <w:fldChar w:fldCharType="begin"/>
      </w:r>
      <w:r w:rsidR="002A7A03" w:rsidRPr="002A7A03">
        <w:instrText xml:space="preserve"> ADDIN ZOTERO_ITEM CSL_CITATION {"citationID":"Tf1Hh9gD","properties":{"formattedCitation":"[17]","plainCitation":"[17]","noteIndex":0},"citationItems":[{"id":1123,"uris":["http://zotero.org/users/local/DHziEHyZ/items/AFKZMR4Y"],"itemData":{"id":1123,"type":"article-journal","abstract":"A new method for analysing nonlinear and non-stationary data has been developed. The key part of the method is the ‘empirical mode decomposition’ method with which any complicated data set can be decomposed into a finite and often small number of ‘intrinsic mode functions’ that admit well-behaved Hilbert transforms. This decomposition method is adaptive, and, therefore, highly efficient. Since the decomposition is based on the local characteristic time scale of the data, it is applicable to nonlinear and non-stationary processes. With the Hilbert transform, the ‘instrinic mode functions’ yield instantaneous frequencies as functions of time that give sharp identifications of imbedded structures. The final presentation of the results is an energy-frequency-time distribution, designated as the Hilbert spectrum. In this method, the main conceptual innovations are the introduction of ‘intrinsic mode functions’ based on local properties of the signal, which make the instantaneous frequency meaningful; and the introduction of the instantaneous frequencies for complicated data sets, which eliminate the need for spurious harmonics to represent nonlinear and non-stationary signals. Examples from the numerical results of the classical nonlinear equation systems and data representing natural phenomena are given to demonstrate the power of this new method. Classical nonlinear system data are especially interesting, for they serve to illustrate the roles played by the nonlinear and non-stationary effects in the energy-frequency-time distribution.","container-title":"Proceedings of the Royal Society A: Mathematical, Physical and Engineering Sciences","DOI":"10.1098/rspa.1998.0193","ISSN":"1364-5021","issue":"1971","journalAbbreviation":"Proc. A","page":"903-995","source":"Silverchair","title":"The empirical mode decomposition and the Hilbert spectrum for nonlinear and non-stationary time series analysis","volume":"454","author":[{"family":"Huang","given":"Norden E."},{"family":"Shen","given":"Zheng"},{"family":"Long","given":"Steven R."},{"family":"Wu","given":"Manli C."},{"family":"Shih","given":"Hsing H."},{"family":"Zheng","given":"Quanan"},{"family":"Yen","given":"Nai-Chyuan"},{"family":"Tung","given":"Chi Chao"},{"family":"Liu","given":"Henry H."}],"issued":{"date-parts":[["1998",3,8]]}}}],"schema":"https://github.com/citation-style-language/schema/raw/master/csl-citation.json"} </w:instrText>
      </w:r>
      <w:r w:rsidR="002A7A03" w:rsidRPr="002A7A03">
        <w:fldChar w:fldCharType="separate"/>
      </w:r>
      <w:r w:rsidR="002A7A03" w:rsidRPr="002A7A03">
        <w:t>[17]</w:t>
      </w:r>
      <w:r w:rsidR="002A7A03" w:rsidRPr="002A7A03">
        <w:fldChar w:fldCharType="end"/>
      </w:r>
      <w:r>
        <w:t xml:space="preserve">. Extensions such as ensemble EMD further improve robustness against noise </w:t>
      </w:r>
      <w:r w:rsidR="002A7A03" w:rsidRPr="002A7A03">
        <w:fldChar w:fldCharType="begin"/>
      </w:r>
      <w:r w:rsidR="002A7A03" w:rsidRPr="002A7A03">
        <w:instrText xml:space="preserve"> ADDIN ZOTERO_ITEM CSL_CITATION {"citationID":"YRzBsiV3","properties":{"formattedCitation":"[18]","plainCitation":"[18]","noteIndex":0},"citationItems":[{"id":1127,"uris":["http://zotero.org/users/local/DHziEHyZ/items/7RGYFN9G"],"itemData":{"id":1127,"type":"article-journal","abstract":"A new Ensemble Empirical Mode Decomposition (EEMD) is presented. This new approach consists of sifting an ensemble of white noise-added signal (data) and treats the mean as the final true result. F...","container-title":"Advances in Adaptive Data Analysis","language":"en","source":"www.worldscientific.com","title":"ENSEMBLE EMPIRICAL MODE DECOMPOSITION: A NOISE-ASSISTED DATA ANALYSIS METHOD","title-short":"ENSEMBLE EMPIRICAL MODE DECOMPOSITION","URL":"https://www.worldscientific.com/doi/epdf/10.1142/S1793536909000047","accessed":{"date-parts":[["2026",3,19]]}}}],"schema":"https://github.com/citation-style-language/schema/raw/master/csl-citation.json"} </w:instrText>
      </w:r>
      <w:r w:rsidR="002A7A03" w:rsidRPr="002A7A03">
        <w:fldChar w:fldCharType="separate"/>
      </w:r>
      <w:r w:rsidR="002A7A03" w:rsidRPr="002A7A03">
        <w:t>[18]</w:t>
      </w:r>
      <w:r w:rsidR="002A7A03" w:rsidRPr="002A7A03">
        <w:fldChar w:fldCharType="end"/>
      </w:r>
      <w:r>
        <w:t>. These methods allow time series to be separated into components representing different frequency scales, thereby simplifying the learning task.</w:t>
      </w:r>
    </w:p>
    <w:p w14:paraId="3C772992" w14:textId="01352ECA" w:rsidR="00A4066B" w:rsidRDefault="00A4066B" w:rsidP="00A4066B">
      <w:r>
        <w:t xml:space="preserve">Recent studies have combined decomposition techniques with deep learning models. Parvini et al. integrated wavelet decomposition with LSTM and demonstrated improved forecasting performance </w:t>
      </w:r>
      <w:r w:rsidR="002A7A03" w:rsidRPr="002A7A03">
        <w:fldChar w:fldCharType="begin"/>
      </w:r>
      <w:r w:rsidR="002A7A03" w:rsidRPr="002A7A03">
        <w:instrText xml:space="preserve"> ADDIN ZOTERO_ITEM CSL_CITATION {"citationID":"2ZZkVOYi","properties":{"formattedCitation":"[19]","plainCitation":"[19]","noteIndex":0},"citationItems":[{"id":1129,"uris":["http://zotero.org/users/local/DHziEHyZ/items/3DX565YZ"],"itemData":{"id":1129,"type":"article-journal","abstract":"Investigating Bitcoin price forecasting has attracted academic attention recently. However, despite some studies on potential economic determinants of Bitcoin price, a consensus on the best predictors is not reached yet. This paper investigates different predictors from various markets including Gold, Oil, S&amp;P500, VIX, USDI, Ether and Ripple as well as Bitcoin historical price in predicting one-step-ahead Bitcoin returns. We propose a two-stage forecasting that comprises discrete wavelet transform as the decomposition method and a deep long short-term memory network as the forecasting algorithm. Beside analyzing forecasting for both univariate and multivariate regression, we design a simulated trading system to put the forecasts into practice and analyze the economic profitability of the predictors. In addition, we shed light on the black box method by implementing sensitivity analysis. To investigate the predictors’ efficacy through time and consider the effects of early 2018 price spike, the dataset is split into two periods: (1) prior to and including the spike and (2) after the spike. According to the experiments, it is hard to choose one predictor over the other in the first period. However, in the second period, Gold and Oil show the highest statistical accuracy, while S&amp;P500 is the most profit-making predictor.","container-title":"Applied Soft Computing","DOI":"10.1016/j.asoc.2022.108707","ISSN":"1568-4946","journalAbbreviation":"Applied Soft Computing","page":"108707","source":"ScienceDirect","title":"Forecasting Bitcoin returns with long short-term memory networks and wavelet decomposition: A comparison of several market determinants","title-short":"Forecasting Bitcoin returns with long short-term memory networks and wavelet decomposition","volume":"121","author":[{"family":"Parvini","given":"Navid"},{"family":"Abdollahi","given":"Mahsa"},{"family":"Seifollahi","given":"Sattar"},{"family":"Ahmadian","given":"Davood"}],"issued":{"date-parts":[["2022",5,1]]}}}],"schema":"https://github.com/citation-style-language/schema/raw/master/csl-citation.json"} </w:instrText>
      </w:r>
      <w:r w:rsidR="002A7A03" w:rsidRPr="002A7A03">
        <w:fldChar w:fldCharType="separate"/>
      </w:r>
      <w:r w:rsidR="002A7A03" w:rsidRPr="002A7A03">
        <w:t>[19]</w:t>
      </w:r>
      <w:r w:rsidR="002A7A03" w:rsidRPr="002A7A03">
        <w:fldChar w:fldCharType="end"/>
      </w:r>
      <w:r>
        <w:t xml:space="preserve">. Chang et al. proposed a CEEMDAN-based framework for cryptocurrency prediction, showing that multi-scale reconstruction enhances accuracy </w:t>
      </w:r>
      <w:r w:rsidR="002A7A03" w:rsidRPr="002A7A03">
        <w:fldChar w:fldCharType="begin"/>
      </w:r>
      <w:r w:rsidR="002A7A03" w:rsidRPr="002A7A03">
        <w:instrText xml:space="preserve"> ADDIN ZOTERO_ITEM CSL_CITATION {"citationID":"1ojyLk4y","properties":{"formattedCitation":"[20]","plainCitation":"[20]","noteIndex":0},"citationItems":[{"id":1132,"uris":["http://zotero.org/users/local/DHziEHyZ/items/P4L8G2J8"],"itemData":{"id":1132,"type":"article-journal","abstract":"Cryptocurrency, particularly Bitcoin, is a significant financial asset for investors, but predicting its price is challenging due to its volatile and erratic nature. In this study, we suggest a novel ternary-frequency (TF) prediction scheme for Bitcoin prices, which combines complete ensemble empirical mode decomposition with adaptive noise (CEEMDAN), a time series clustering method, and the reconstruction of intrinsic mode functions (IMFs). In the proposed scheme, CEEMDAN was utilized to decompose Bitcoin’s daily price into IMFs, then prototypes of time series clustering were used to construct robust ensemble clusters. The IMFs in the ensemble clusters were reconstructed into ensemble time series and then identified as three different frequencies, which were respectively used in a prediction model to generate different predicted values, and then aggregated to produce the final prediction results. To generate three different TF Bitcoin price prediction schemes, this study employed three prominent prediction algorithms: autoregressive integrated moving average with exogenous variables (ARIMAX), multivariate adaptive regression splines (MARS), and extreme gradient boosting (XGB); these resulted in three distinct models, named TF-ARIMAX, TF-MARS, and TF-XGB. Empirical results from the two daily Bitcoin and one daily Ethereum closing price datasets showed that the proposed TF prediction scheme outperformed other benchmark approaches. Moreover, among the three TF models, TF-MARS produced superior prediction accuracy compared to both TF-ARIMAX and TF-XGB models, and proved to be an effective alternative for cryptocurrency price prediction.","container-title":"Expert Systems with Applications","DOI":"10.1016/j.eswa.2023.121008","ISSN":"0957-4174","journalAbbreviation":"Expert Systems with Applications","page":"121008","source":"ScienceDirect","title":"A ternary-frequency cryptocurrency price prediction scheme by ensemble of clustering and reconstructing intrinsic mode functions based on CEEMDAN","volume":"233","author":[{"family":"Chang","given":"Ting-Jen"},{"family":"Lee","given":"Tian-Shyug"},{"family":"Yang","given":"Chih-Te"},{"family":"Lu","given":"Chi-Jie"}],"issued":{"date-parts":[["2023",12,15]]}}}],"schema":"https://github.com/citation-style-language/schema/raw/master/csl-citation.json"} </w:instrText>
      </w:r>
      <w:r w:rsidR="002A7A03" w:rsidRPr="002A7A03">
        <w:fldChar w:fldCharType="separate"/>
      </w:r>
      <w:r w:rsidR="002A7A03" w:rsidRPr="002A7A03">
        <w:t>[20]</w:t>
      </w:r>
      <w:r w:rsidR="002A7A03" w:rsidRPr="002A7A03">
        <w:fldChar w:fldCharType="end"/>
      </w:r>
      <w:r>
        <w:t xml:space="preserve">. </w:t>
      </w:r>
      <w:proofErr w:type="spellStart"/>
      <w:r>
        <w:t>Mizdrakovic</w:t>
      </w:r>
      <w:proofErr w:type="spellEnd"/>
      <w:r>
        <w:t xml:space="preserve"> et al. further developed a decomposition-aided LSTM model and reported improvements in both prediction and interpretability </w:t>
      </w:r>
      <w:r w:rsidR="002A7A03" w:rsidRPr="002A7A03">
        <w:fldChar w:fldCharType="begin"/>
      </w:r>
      <w:r w:rsidR="002A7A03" w:rsidRPr="002A7A03">
        <w:instrText xml:space="preserve"> ADDIN ZOTERO_ITEM CSL_CITATION {"citationID":"ZJ4pZxMy","properties":{"formattedCitation":"[21]","plainCitation":"[21]","noteIndex":0},"citationItems":[{"id":1135,"uris":["http://zotero.org/users/local/DHziEHyZ/items/X9TT48QJ"],"itemData":{"id":1135,"type":"article-journal","abstract":"Bitcoin price volatility fascinates both researchers and investors, studying features that influence its movement. This paper expends on previous research and examines time series data of various exogenous and endogenous factors: Bitcoin, Ethereum, S&amp;P 500, and VIX closing prices; exchange rates of the Euro and GPB to USD; and the number of Bitcoin-related tweets per day. A period of three years (from September 2019 to September 2022) is covered by the research dataset. A two-layer framework is introduced tasked with accurately forecasting Bitcoin price. In the first layer, to account for complexities in the analyzed data, variational mode decomposition (VMD) extracts trends from the time series. In the second layer, Long short-term memory and hybrid Bidirectional long short-term memory networks were used to forecast prices several steps ahead. This work also introduced an enhanced variant of the sine cosine algorithm to tune the control parameters of VMD and both neural networks for attaining the best possible performance. The main focus is on combining VMD with modified metaheuristics to improve cryptocurrency closing value forecast. Two sets of experiments were conducted, with and without VMD. The results have been contrasted with models tuned by seven other cutting-edge optimizers. Extensive experimental outcomes indicate that Bitcoin price can be forecasted with great accuracy using selected features and time series decomposition. Additionally, the best model was analyzed, and Shapley values indicated that features such as EUR/USD exchange rates, Ethereum closing prices, and GBP/USD exchange rates, have a significant impact on forecasts.","container-title":"Knowledge-Based Systems","DOI":"10.1016/j.knosys.2024.112026","ISSN":"0950-7051","journalAbbreviation":"Knowledge-Based Systems","page":"112026","source":"ScienceDirect","title":"Forecasting bitcoin: Decomposition aided long short-term memory based time series modeling and its explanation with Shapley values","title-short":"Forecasting bitcoin","volume":"299","author":[{"family":"Mizdrakovic","given":"Vule"},{"family":"Kljajic","given":"Maja"},{"family":"Zivkovic","given":"Miodrag"},{"family":"Bacanin","given":"Nebojsa"},{"family":"Jovanovic","given":"Luka"},{"family":"Deveci","given":"Muhammet"},{"family":"Pedrycz","given":"Witold"}],"issued":{"date-parts":[["2024",9,5]]}}}],"schema":"https://github.com/citation-style-language/schema/raw/master/csl-citation.json"} </w:instrText>
      </w:r>
      <w:r w:rsidR="002A7A03" w:rsidRPr="002A7A03">
        <w:fldChar w:fldCharType="separate"/>
      </w:r>
      <w:r w:rsidR="002A7A03" w:rsidRPr="002A7A03">
        <w:t>[21]</w:t>
      </w:r>
      <w:r w:rsidR="002A7A03" w:rsidRPr="002A7A03">
        <w:fldChar w:fldCharType="end"/>
      </w:r>
      <w:r>
        <w:t xml:space="preserve">. Similarly, Koo and Kim proposed a decomposition-based LSTM approach for Bitcoin forecasting </w:t>
      </w:r>
      <w:r w:rsidR="002A7A03" w:rsidRPr="002A7A03">
        <w:fldChar w:fldCharType="begin"/>
      </w:r>
      <w:r w:rsidR="002A7A03" w:rsidRPr="002A7A03">
        <w:instrText xml:space="preserve"> ADDIN ZOTERO_ITEM CSL_CITATION {"citationID":"a6rV6unk","properties":{"formattedCitation":"[22]","plainCitation":"[22]","noteIndex":0},"citationItems":[{"id":1138,"uris":["http://zotero.org/users/local/DHziEHyZ/items/MD2HALQR"],"itemData":{"id":1138,"type":"article-journal","abstract":"It has been reported that integrating time-series decomposition methods and neural network models improves financial time-series prediction performance. Despite its practical importance, the prediction performance of cryptocurrency prices, including Bitcoin, at the tail domain of the label distribution is generally less successful than the mean performance across the entire domain of the label distribution. In order to enhance the overall predictive performance of the Bitcoin price, we propose the Centralized Clusters Distribution (CCD) as a novel input data filtering mechanism that significantly improves both the tail performance and the overall performance by mitigating the extreme bimodality inherent in Bitcoin price. The combination of CCD and the Weighted Empirical Stretching (WES) loss function, which imposes different penalties depending on the label distribution, outcomes in an additional performance gain. In the Long-Short Term Memory (LSTM) and the Singular Spectrum Analysis (SSA) decomposition method, the CCD-WES strategy outperforms the native experiment by 11.5% and 22.5% Root Mean Square Error (RMSE) gain in the whole and extreme domains of the label, respectively.","container-title":"Expert Systems with Applications","DOI":"10.1016/j.eswa.2023.121401","ISSN":"0957-4174","journalAbbreviation":"Expert Systems with Applications","page":"121401","source":"ScienceDirect","title":"Centralized decomposition approach in LSTM for Bitcoin price prediction","volume":"237","author":[{"family":"Koo","given":"Eunho"},{"family":"Kim","given":"Geonwoo"}],"issued":{"date-parts":[["2024",3,1]]}}}],"schema":"https://github.com/citation-style-language/schema/raw/master/csl-citation.json"} </w:instrText>
      </w:r>
      <w:r w:rsidR="002A7A03" w:rsidRPr="002A7A03">
        <w:fldChar w:fldCharType="separate"/>
      </w:r>
      <w:r w:rsidR="002A7A03" w:rsidRPr="002A7A03">
        <w:t>[22]</w:t>
      </w:r>
      <w:r w:rsidR="002A7A03" w:rsidRPr="002A7A03">
        <w:fldChar w:fldCharType="end"/>
      </w:r>
      <w:r>
        <w:t xml:space="preserve">. Additional studies have also explored hybrid decomposition-learning frameworks and reported consistent improvements in financial forecasting tasks </w:t>
      </w:r>
      <w:r w:rsidR="002A7A03" w:rsidRPr="002A7A03">
        <w:fldChar w:fldCharType="begin"/>
      </w:r>
      <w:r w:rsidR="002A7A03" w:rsidRPr="002A7A03">
        <w:instrText xml:space="preserve"> ADDIN ZOTERO_ITEM CSL_CITATION {"citationID":"hWm5fjlm","properties":{"formattedCitation":"[23]","plainCitation":"[23]","noteIndex":0},"citationItems":[{"id":1141,"uris":["http://zotero.org/users/local/DHziEHyZ/items/YX5X2KFZ"],"itemData":{"id":1141,"type":"article-journal","abstract":"This study examines the predictability of three major cryptocurrencies—bitcoin, ethereum, and litecoin—and the profitability of trading strategies devised upon machine learning techniques (e.g., linear models, random forests, and support vector machines). The models are validated in a period characterized by unprecedented turmoil and tested in a period of bear markets, allowing the assessment of whether the predictions are good even when the market direction changes between the validation and test periods. The classification and regression methods use attributes from trading and network activity for the period from August 15, 2015 to March 03, 2019, with the test sample beginning on April 13, 2018. For the test period, five out of 18 individual models have success rates of less than 50%. The trading strategies are built on model assembling. The ensemble assuming that five models produce identical signals (Ensemble 5) achieves the best performance for ethereum and litecoin, with annualized Sharpe ratios of 80.17% and 91.35% and annualized returns (after proportional round-trip trading costs of 0.5%) of 9.62% and 5.73%, respectively. These positive results support the claim that machine learning provides robust techniques for exploring the predictability of cryptocurrencies and for devising profitable trading strategies in these markets, even under adverse market conditions.","container-title":"Financial Innovation","DOI":"10.1186/s40854-020-00217-x","ISSN":"2199-4730","issue":"1","journalAbbreviation":"Financ Innov","language":"en","page":"3","source":"Springer Link","title":"Forecasting and trading cryptocurrencies with machine learning under changing market conditions","volume":"7","author":[{"family":"Sebastião","given":"Helder"},{"family":"Godinho","given":"Pedro"}],"issued":{"date-parts":[["2021",1,6]]}}}],"schema":"https://github.com/citation-style-language/schema/raw/master/csl-citation.json"} </w:instrText>
      </w:r>
      <w:r w:rsidR="002A7A03" w:rsidRPr="002A7A03">
        <w:fldChar w:fldCharType="separate"/>
      </w:r>
      <w:r w:rsidR="002A7A03" w:rsidRPr="002A7A03">
        <w:t>[23]</w:t>
      </w:r>
      <w:r w:rsidR="002A7A03" w:rsidRPr="002A7A03">
        <w:fldChar w:fldCharType="end"/>
      </w:r>
      <w:r w:rsidR="002A7A03" w:rsidRPr="002A7A03">
        <w:t xml:space="preserve">, </w:t>
      </w:r>
      <w:r w:rsidR="002A7A03" w:rsidRPr="002A7A03">
        <w:fldChar w:fldCharType="begin"/>
      </w:r>
      <w:r w:rsidR="002A7A03" w:rsidRPr="002A7A03">
        <w:instrText xml:space="preserve"> ADDIN ZOTERO_ITEM CSL_CITATION {"citationID":"9c1v713W","properties":{"formattedCitation":"[24]","plainCitation":"[24]","noteIndex":0},"citationItems":[{"id":1143,"uris":["http://zotero.org/users/local/DHziEHyZ/items/5K55MIAV"],"itemData":{"id":1143,"type":"article-journal","abstract":"After the boom and bust of cryptocurrencies’ prices in recent years, Bitcoin has been increasingly regarded as an investment asset. Because of its highly volatile nature, there is a need for good predictions on which to base investment decisions. Although existing studies have leveraged machine learning for more accurate Bitcoin price prediction, few have focused on the feasibility of applying different modeling techniques to samples with different data structures and dimensional features. To predict Bitcoin price at different frequencies using machine learning techniques, we first classify Bitcoin price by daily price and high-frequency price. A set of high-dimension features including property and network, trading and market, attention and gold spot price are used for Bitcoin daily price prediction, while the basic trading features acquired from a cryptocurrency exchange are used for 5-minute interval price prediction. Statistical methods including Logistic Regression and Linear Discriminant Analysis for Bitcoin daily price prediction with high-dimensional features achieve an accuracy of 66%, outperforming more complicated machine learning algorithms. Compared with benchmark results for daily price prediction, we achieve a better performance, with the highest accuracies of the statistical methods and machine learning algorithms of 66% and 65.3%, respectively. Machine learning models including Random Forest, XGBoost, Quadratic Discriminant Analysis, Support Vector Machine and Long Short-term Memory for Bitcoin 5-minute interval price prediction are superior to statistical methods, with accuracy reaching 67.2%. Our investigation of Bitcoin price prediction can be considered a pilot study of the importance of the sample dimension in machine learning techniques.","container-title":"Journal of Computational and Applied Mathematics","DOI":"10.1016/j.cam.2019.112395","ISSN":"0377-0427","journalAbbreviation":"Journal of Computational and Applied Mathematics","page":"112395","source":"ScienceDirect","title":"Bitcoin price prediction using machine learning: An approach to sample dimension engineering","title-short":"Bitcoin price prediction using machine learning","volume":"365","author":[{"family":"Chen","given":"Zheshi"},{"family":"Li","given":"Chunhong"},{"family":"Sun","given":"Wenjun"}],"issued":{"date-parts":[["2020",2,1]]}}}],"schema":"https://github.com/citation-style-language/schema/raw/master/csl-citation.json"} </w:instrText>
      </w:r>
      <w:r w:rsidR="002A7A03" w:rsidRPr="002A7A03">
        <w:fldChar w:fldCharType="separate"/>
      </w:r>
      <w:r w:rsidR="002A7A03" w:rsidRPr="002A7A03">
        <w:t>[24]</w:t>
      </w:r>
      <w:r w:rsidR="002A7A03" w:rsidRPr="002A7A03">
        <w:fldChar w:fldCharType="end"/>
      </w:r>
      <w:r>
        <w:t>.</w:t>
      </w:r>
    </w:p>
    <w:p w14:paraId="42828FB2" w14:textId="7D381201" w:rsidR="00A4066B" w:rsidRDefault="00A4066B" w:rsidP="00A4066B">
      <w:r>
        <w:t xml:space="preserve">Despite these advances, two key limitations remain. First, most GRU-based forecasting models continue to operate on raw or feature-enhanced time series without explicitly addressing the multi-scale structure of the data </w:t>
      </w:r>
      <w:r w:rsidR="002A7A03" w:rsidRPr="002A7A03">
        <w:fldChar w:fldCharType="begin"/>
      </w:r>
      <w:r w:rsidR="002A7A03" w:rsidRPr="002A7A03">
        <w:instrText xml:space="preserve"> ADDIN ZOTERO_ITEM CSL_CITATION {"citationID":"N3ft0zfd","properties":{"formattedCitation":"[13]","plainCitation":"[13]","noteIndex":0},"citationItems":[{"id":1113,"uris":["http://zotero.org/users/local/DHziEHyZ/items/LHUN9C6B"],"itemData":{"id":1113,"type":"article-journal","abstract":"In today’s era of big data, deep learning and artificial intelligence have formed the backbone for cryptocurrency portfolio optimization. Researchers ...","container-title":"Journal of Risk and Financial Management","DOI":"10.3390/jrfm13020023","ISSN":"1911-8074","issue":"2","language":"en","license":"http://creativecommons.org/licenses/by/3.0/","publisher":"Multidisciplinary Digital Publishing Institute","source":"www.mdpi.com","title":"A Gated Recurrent Unit Approach to Bitcoin Price Prediction","URL":"https://www.mdpi.com/1911-8074/13/2/23","volume":"13","author":[{"family":"Dutta","given":"Aniruddha"},{"family":"Kumar","given":"Saket"},{"family":"Basu","given":"Meheli"}],"accessed":{"date-parts":[["2026",3,19]]},"issued":{"date-parts":[["2020",2,3]]}}}],"schema":"https://github.com/citation-style-language/schema/raw/master/csl-citation.json"} </w:instrText>
      </w:r>
      <w:r w:rsidR="002A7A03" w:rsidRPr="002A7A03">
        <w:fldChar w:fldCharType="separate"/>
      </w:r>
      <w:r w:rsidR="002A7A03" w:rsidRPr="002A7A03">
        <w:t>[13]</w:t>
      </w:r>
      <w:r w:rsidR="002A7A03" w:rsidRPr="002A7A03">
        <w:fldChar w:fldCharType="end"/>
      </w:r>
      <w:r w:rsidR="002A7A03" w:rsidRPr="002A7A03">
        <w:t xml:space="preserve">, </w:t>
      </w:r>
      <w:r w:rsidR="002A7A03" w:rsidRPr="002A7A03">
        <w:fldChar w:fldCharType="begin"/>
      </w:r>
      <w:r w:rsidR="002A7A03" w:rsidRPr="002A7A03">
        <w:instrText xml:space="preserve"> ADDIN ZOTERO_ITEM CSL_CITATION {"citationID":"3RMeSpF1","properties":{"formattedCitation":"[15]","plainCitation":"[15]","noteIndex":0},"citationItems":[{"id":1117,"uris":["http://zotero.org/users/local/DHziEHyZ/items/JL8NDS66"],"itemData":{"id":1117,"type":"article-journal","abstract":"Cryptocurrency price forecasting is attracting considerable interest due to its crucial decision support role in investment strategies. Large fluctuations in non-stationary cryptocurrency prices motivate the urgent need for accurate forecasting models. The lack of seasonal effects and the need to meet a number of unrealistic requirements make it difficult to make accurate forecasts using traditional statistical methods, leaving machine learning, particularly ensemble and deep learning, as the best technology in the area of cryptocurrency price forecasting. This is the first work to provide a comprehensive comparative analysis of ensemble learning and deep learning forecasting models, examining their relative performance on various cryptocurrencies (Bitcoin, Ethereum, Ripple, and Litecoin) and exploring their potential trading applications. The results of this study reveal that gated recurrent unit, simple recurrent neural network, and LightGBM methods outperform other machine learning methods, as well as the naive buy-and-hold and random walk strategies. This can effectively guide investors in the cryptocurrency markets.","container-title":"International Review of Financial Analysis","DOI":"10.1016/j.irfa.2023.103055","ISSN":"1057-5219","journalAbbreviation":"International Review of Financial Analysis","page":"103055","source":"ScienceDirect","title":"Cryptocurrency price forecasting – A comparative analysis of ensemble learning and deep learning methods","volume":"92","author":[{"family":"Bouteska","given":"Ahmed"},{"family":"Abedin","given":"Mohammad Zoynul"},{"family":"Hajek","given":"Petr"},{"family":"Yuan","given":"Kunpeng"}],"issued":{"date-parts":[["2024",3,1]]}}}],"schema":"https://github.com/citation-style-language/schema/raw/master/csl-citation.json"} </w:instrText>
      </w:r>
      <w:r w:rsidR="002A7A03" w:rsidRPr="002A7A03">
        <w:fldChar w:fldCharType="separate"/>
      </w:r>
      <w:r w:rsidR="002A7A03" w:rsidRPr="002A7A03">
        <w:t>[15]</w:t>
      </w:r>
      <w:r w:rsidR="002A7A03" w:rsidRPr="002A7A03">
        <w:fldChar w:fldCharType="end"/>
      </w:r>
      <w:r>
        <w:t xml:space="preserve">. Second, although decomposition-based approaches have shown effectiveness with LSTM and its variants, their impact on GRU has not been systematically evaluated </w:t>
      </w:r>
      <w:r w:rsidR="002A7A03" w:rsidRPr="002A7A03">
        <w:fldChar w:fldCharType="begin"/>
      </w:r>
      <w:r w:rsidR="002A7A03" w:rsidRPr="002A7A03">
        <w:instrText xml:space="preserve"> ADDIN ZOTERO_ITEM CSL_CITATION {"citationID":"30v8x4uz","properties":{"formattedCitation":"[21]","plainCitation":"[21]","noteIndex":0},"citationItems":[{"id":1135,"uris":["http://zotero.org/users/local/DHziEHyZ/items/X9TT48QJ"],"itemData":{"id":1135,"type":"article-journal","abstract":"Bitcoin price volatility fascinates both researchers and investors, studying features that influence its movement. This paper expends on previous research and examines time series data of various exogenous and endogenous factors: Bitcoin, Ethereum, S&amp;P 500, and VIX closing prices; exchange rates of the Euro and GPB to USD; and the number of Bitcoin-related tweets per day. A period of three years (from September 2019 to September 2022) is covered by the research dataset. A two-layer framework is introduced tasked with accurately forecasting Bitcoin price. In the first layer, to account for complexities in the analyzed data, variational mode decomposition (VMD) extracts trends from the time series. In the second layer, Long short-term memory and hybrid Bidirectional long short-term memory networks were used to forecast prices several steps ahead. This work also introduced an enhanced variant of the sine cosine algorithm to tune the control parameters of VMD and both neural networks for attaining the best possible performance. The main focus is on combining VMD with modified metaheuristics to improve cryptocurrency closing value forecast. Two sets of experiments were conducted, with and without VMD. The results have been contrasted with models tuned by seven other cutting-edge optimizers. Extensive experimental outcomes indicate that Bitcoin price can be forecasted with great accuracy using selected features and time series decomposition. Additionally, the best model was analyzed, and Shapley values indicated that features such as EUR/USD exchange rates, Ethereum closing prices, and GBP/USD exchange rates, have a significant impact on forecasts.","container-title":"Knowledge-Based Systems","DOI":"10.1016/j.knosys.2024.112026","ISSN":"0950-7051","journalAbbreviation":"Knowledge-Based Systems","page":"112026","source":"ScienceDirect","title":"Forecasting bitcoin: Decomposition aided long short-term memory based time series modeling and its explanation with Shapley values","title-short":"Forecasting bitcoin","volume":"299","author":[{"family":"Mizdrakovic","given":"Vule"},{"family":"Kljajic","given":"Maja"},{"family":"Zivkovic","given":"Miodrag"},{"family":"Bacanin","given":"Nebojsa"},{"family":"Jovanovic","given":"Luka"},{"family":"Deveci","given":"Muhammet"},{"family":"Pedrycz","given":"Witold"}],"issued":{"date-parts":[["2024",9,5]]}}}],"schema":"https://github.com/citation-style-language/schema/raw/master/csl-citation.json"} </w:instrText>
      </w:r>
      <w:r w:rsidR="002A7A03" w:rsidRPr="002A7A03">
        <w:fldChar w:fldCharType="separate"/>
      </w:r>
      <w:r w:rsidR="002A7A03" w:rsidRPr="002A7A03">
        <w:t>[21]</w:t>
      </w:r>
      <w:r w:rsidR="002A7A03" w:rsidRPr="002A7A03">
        <w:fldChar w:fldCharType="end"/>
      </w:r>
      <w:r w:rsidR="002A7A03" w:rsidRPr="002A7A03">
        <w:t xml:space="preserve">, </w:t>
      </w:r>
      <w:r w:rsidR="002A7A03" w:rsidRPr="002A7A03">
        <w:fldChar w:fldCharType="begin"/>
      </w:r>
      <w:r w:rsidR="002A7A03" w:rsidRPr="002A7A03">
        <w:instrText xml:space="preserve"> ADDIN ZOTERO_ITEM CSL_CITATION {"citationID":"2DrcBl7Y","properties":{"formattedCitation":"[22]","plainCitation":"[22]","noteIndex":0},"citationItems":[{"id":1138,"uris":["http://zotero.org/users/local/DHziEHyZ/items/MD2HALQR"],"itemData":{"id":1138,"type":"article-journal","abstract":"It has been reported that integrating time-series decomposition methods and neural network models improves financial time-series prediction performance. Despite its practical importance, the prediction performance of cryptocurrency prices, including Bitcoin, at the tail domain of the label distribution is generally less successful than the mean performance across the entire domain of the label distribution. In order to enhance the overall predictive performance of the Bitcoin price, we propose the Centralized Clusters Distribution (CCD) as a novel input data filtering mechanism that significantly improves both the tail performance and the overall performance by mitigating the extreme bimodality inherent in Bitcoin price. The combination of CCD and the Weighted Empirical Stretching (WES) loss function, which imposes different penalties depending on the label distribution, outcomes in an additional performance gain. In the Long-Short Term Memory (LSTM) and the Singular Spectrum Analysis (SSA) decomposition method, the CCD-WES strategy outperforms the native experiment by 11.5% and 22.5% Root Mean Square Error (RMSE) gain in the whole and extreme domains of the label, respectively.","container-title":"Expert Systems with Applications","DOI":"10.1016/j.eswa.2023.121401","ISSN":"0957-4174","journalAbbreviation":"Expert Systems with Applications","page":"121401","source":"ScienceDirect","title":"Centralized decomposition approach in LSTM for Bitcoin price prediction","volume":"237","author":[{"family":"Koo","given":"Eunho"},{"family":"Kim","given":"Geonwoo"}],"issued":{"date-parts":[["2024",3,1]]}}}],"schema":"https://github.com/citation-style-language/schema/raw/master/csl-citation.json"} </w:instrText>
      </w:r>
      <w:r w:rsidR="002A7A03" w:rsidRPr="002A7A03">
        <w:fldChar w:fldCharType="separate"/>
      </w:r>
      <w:r w:rsidR="002A7A03" w:rsidRPr="002A7A03">
        <w:t>[22]</w:t>
      </w:r>
      <w:r w:rsidR="002A7A03" w:rsidRPr="002A7A03">
        <w:fldChar w:fldCharType="end"/>
      </w:r>
      <w:r>
        <w:t>. Furthermore, many existing studies combine multiple techniques simultaneously, making it difficult to isolate the contribution of signal decomposition.</w:t>
      </w:r>
    </w:p>
    <w:p w14:paraId="25CF6859" w14:textId="77777777" w:rsidR="00657488" w:rsidRDefault="00A4066B" w:rsidP="00A4066B">
      <w:r>
        <w:t xml:space="preserve">Therefore, a clear research gap exists: there is a lack of systematic investigation into whether empirical mode decomposition alone can enhance GRU-based forecasting for Bitcoin price series under controlled experimental conditions. This study addresses this </w:t>
      </w:r>
      <w:r>
        <w:lastRenderedPageBreak/>
        <w:t>gap by proposing an EMD-GRU framework that decomposes the original signal into intrinsic components and evaluates the effectiveness of component-wise learning using consistent datasets and evaluation metrics.</w:t>
      </w:r>
    </w:p>
    <w:p w14:paraId="20E2D927" w14:textId="77777777" w:rsidR="009B1D59" w:rsidRDefault="007131A7" w:rsidP="009942DC">
      <w:pPr>
        <w:pStyle w:val="heading10"/>
      </w:pPr>
      <w:r>
        <w:t>3</w:t>
      </w:r>
      <w:r w:rsidR="009B1D59" w:rsidRPr="009A3755">
        <w:t xml:space="preserve">   </w:t>
      </w:r>
      <w:r w:rsidR="00A4066B" w:rsidRPr="00A4066B">
        <w:t>Methodology</w:t>
      </w:r>
    </w:p>
    <w:p w14:paraId="39B17733" w14:textId="77777777" w:rsidR="00A4066B" w:rsidRPr="00FC4AD7" w:rsidRDefault="00A4066B" w:rsidP="00FC4AD7">
      <w:pPr>
        <w:pStyle w:val="heading20"/>
      </w:pPr>
      <w:r w:rsidRPr="00FC4AD7">
        <w:t>3.1</w:t>
      </w:r>
      <w:r w:rsidR="00FC4AD7">
        <w:t xml:space="preserve">   </w:t>
      </w:r>
      <w:r w:rsidRPr="00FC4AD7">
        <w:t>Overview of the Proposed EMD-GRU Framework</w:t>
      </w:r>
    </w:p>
    <w:p w14:paraId="6836A4AF" w14:textId="77777777" w:rsidR="00A4066B" w:rsidRPr="00FC4AD7" w:rsidRDefault="00A4066B" w:rsidP="00FC4AD7">
      <w:pPr>
        <w:pStyle w:val="p1a"/>
      </w:pPr>
      <w:r w:rsidRPr="00FC4AD7">
        <w:t>This study proposes a hybrid forecasting framework that integrates EMD with GRU to improve Bitcoin price prediction. The main objective is to address the nonlinearity and non-stationarity of financial time series by decomposing the original signal into multiple simpler components before applying deep learning.</w:t>
      </w:r>
    </w:p>
    <w:p w14:paraId="1358C084" w14:textId="465AEDD7" w:rsidR="00A4066B" w:rsidRDefault="005D4B4A" w:rsidP="001E2D85">
      <w:pPr>
        <w:keepNext/>
        <w:widowControl w:val="0"/>
        <w:spacing w:before="120"/>
        <w:ind w:firstLine="0"/>
        <w:jc w:val="left"/>
      </w:pPr>
      <w:r w:rsidRPr="00A4066B">
        <w:rPr>
          <w:rFonts w:ascii="Times New Roman" w:eastAsia="Palatino Linotype" w:hAnsi="Times New Roman"/>
          <w:noProof/>
          <w:sz w:val="24"/>
          <w:szCs w:val="24"/>
        </w:rPr>
        <w:drawing>
          <wp:inline distT="0" distB="0" distL="0" distR="0" wp14:anchorId="3401BE5A" wp14:editId="01304CA9">
            <wp:extent cx="4014470" cy="1386840"/>
            <wp:effectExtent l="0" t="0" r="0" b="0"/>
            <wp:docPr id="1" name="image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4.jpg"/>
                    <pic:cNvPicPr>
                      <a:picLocks noChangeAspect="1" noChangeArrowheads="1"/>
                    </pic:cNvPicPr>
                  </pic:nvPicPr>
                  <pic:blipFill>
                    <a:blip r:embed="rId7" cstate="print">
                      <a:extLst>
                        <a:ext uri="{28A0092B-C50C-407E-A947-70E740481C1C}">
                          <a14:useLocalDpi xmlns:a14="http://schemas.microsoft.com/office/drawing/2010/main" val="0"/>
                        </a:ext>
                      </a:extLst>
                    </a:blip>
                    <a:srcRect t="15860" b="22055"/>
                    <a:stretch>
                      <a:fillRect/>
                    </a:stretch>
                  </pic:blipFill>
                  <pic:spPr bwMode="auto">
                    <a:xfrm>
                      <a:off x="0" y="0"/>
                      <a:ext cx="4014470" cy="1386840"/>
                    </a:xfrm>
                    <a:prstGeom prst="rect">
                      <a:avLst/>
                    </a:prstGeom>
                    <a:noFill/>
                    <a:ln>
                      <a:noFill/>
                    </a:ln>
                  </pic:spPr>
                </pic:pic>
              </a:graphicData>
            </a:graphic>
          </wp:inline>
        </w:drawing>
      </w:r>
    </w:p>
    <w:p w14:paraId="4EDE53DB" w14:textId="77777777" w:rsidR="00A4066B" w:rsidRPr="00FC4AD7" w:rsidRDefault="00FC4AD7" w:rsidP="001E2D85">
      <w:pPr>
        <w:pStyle w:val="figurelegend"/>
        <w:jc w:val="left"/>
      </w:pPr>
      <w:r>
        <w:rPr>
          <w:b/>
        </w:rPr>
        <w:t xml:space="preserve">Fig. </w:t>
      </w:r>
      <w:r>
        <w:rPr>
          <w:b/>
        </w:rPr>
        <w:fldChar w:fldCharType="begin"/>
      </w:r>
      <w:r>
        <w:rPr>
          <w:b/>
        </w:rPr>
        <w:instrText xml:space="preserve"> SEQ Fig. \n </w:instrText>
      </w:r>
      <w:r>
        <w:rPr>
          <w:b/>
        </w:rPr>
        <w:fldChar w:fldCharType="separate"/>
      </w:r>
      <w:r>
        <w:rPr>
          <w:b/>
          <w:noProof/>
        </w:rPr>
        <w:t>1</w:t>
      </w:r>
      <w:r>
        <w:rPr>
          <w:b/>
        </w:rPr>
        <w:fldChar w:fldCharType="end"/>
      </w:r>
      <w:r>
        <w:rPr>
          <w:b/>
        </w:rPr>
        <w:t>.</w:t>
      </w:r>
      <w:r>
        <w:t xml:space="preserve"> </w:t>
      </w:r>
      <w:r w:rsidR="00A4066B" w:rsidRPr="00FC4AD7">
        <w:t>Workflow of the proposed EMD-GRU framework for Bitcoin price forecasting</w:t>
      </w:r>
    </w:p>
    <w:p w14:paraId="4243D279" w14:textId="77777777" w:rsidR="00A4066B" w:rsidRPr="00FC4AD7" w:rsidRDefault="00A4066B" w:rsidP="00FC4AD7">
      <w:r w:rsidRPr="00FC4AD7">
        <w:t xml:space="preserve">Let </w:t>
      </w:r>
      <w:r w:rsidRPr="00FC4AD7">
        <w:rPr>
          <w:rFonts w:ascii="Cambria Math" w:hAnsi="Cambria Math" w:cs="Cambria Math"/>
        </w:rPr>
        <w:t>𝑥</w:t>
      </w:r>
      <w:r w:rsidRPr="00FC4AD7">
        <w:t>(</w:t>
      </w:r>
      <w:r w:rsidRPr="00FC4AD7">
        <w:rPr>
          <w:rFonts w:ascii="Cambria Math" w:hAnsi="Cambria Math" w:cs="Cambria Math"/>
        </w:rPr>
        <w:t>𝑡</w:t>
      </w:r>
      <w:r w:rsidRPr="00FC4AD7">
        <w:t xml:space="preserve">) denote the original Bitcoin closing price series. Instead of directly training a GRU model on </w:t>
      </w:r>
      <w:r w:rsidRPr="00FC4AD7">
        <w:rPr>
          <w:rFonts w:ascii="Cambria Math" w:hAnsi="Cambria Math" w:cs="Cambria Math"/>
        </w:rPr>
        <w:t>𝑥</w:t>
      </w:r>
      <w:r w:rsidRPr="00FC4AD7">
        <w:t>(</w:t>
      </w:r>
      <w:r w:rsidRPr="00FC4AD7">
        <w:rPr>
          <w:rFonts w:ascii="Cambria Math" w:hAnsi="Cambria Math" w:cs="Cambria Math"/>
        </w:rPr>
        <w:t>𝑡</w:t>
      </w:r>
      <w:r w:rsidRPr="00FC4AD7">
        <w:t>), the proposed method first applies EMD to decompose the signal into a set of IMFs, each representing oscillatory patterns at different time scales. These components are then modeled independently using GRU networks, and the final prediction is reconstructed by aggregating all component-wise outputs.</w:t>
      </w:r>
    </w:p>
    <w:p w14:paraId="3EEE4499" w14:textId="77777777" w:rsidR="00A4066B" w:rsidRPr="00FC4AD7" w:rsidRDefault="00A4066B" w:rsidP="00FC4AD7">
      <w:r w:rsidRPr="00FC4AD7">
        <w:t xml:space="preserve">As illustrated in </w:t>
      </w:r>
      <w:r w:rsidRPr="00FC4AD7">
        <w:fldChar w:fldCharType="begin"/>
      </w:r>
      <w:r w:rsidRPr="00FC4AD7">
        <w:instrText xml:space="preserve"> REF _Ref224807606 \h  \* MERGEFORMAT </w:instrText>
      </w:r>
      <w:r w:rsidRPr="00FC4AD7">
        <w:fldChar w:fldCharType="separate"/>
      </w:r>
      <w:r w:rsidRPr="00FC4AD7">
        <w:t>Fig. 1</w:t>
      </w:r>
      <w:r w:rsidRPr="00FC4AD7">
        <w:fldChar w:fldCharType="end"/>
      </w:r>
      <w:r w:rsidRPr="00FC4AD7">
        <w:t>, the proposed framework consists of three main stages: (1) signal decomposition using EMD, (2) component-wise forecasting using GRU models, (3) reconstruction of the final prediction. This design transforms a single complex forecasting problem into multiple simpler subproblems, enabling more</w:t>
      </w:r>
      <w:r w:rsidRPr="00AD10A8">
        <w:rPr>
          <w:rFonts w:ascii="Times New Roman" w:eastAsia="Palatino Linotype" w:hAnsi="Times New Roman"/>
          <w:sz w:val="24"/>
          <w:szCs w:val="24"/>
        </w:rPr>
        <w:t xml:space="preserve"> </w:t>
      </w:r>
      <w:r w:rsidRPr="00FC4AD7">
        <w:t xml:space="preserve">effective learning. The overall process of the proposed method is summarized as </w:t>
      </w:r>
      <w:r w:rsidRPr="00FC4AD7">
        <w:fldChar w:fldCharType="begin"/>
      </w:r>
      <w:r w:rsidRPr="00FC4AD7">
        <w:instrText xml:space="preserve"> REF _Ref224810427 \h  \* MERGEFORMAT </w:instrText>
      </w:r>
      <w:r w:rsidRPr="00FC4AD7">
        <w:fldChar w:fldCharType="separate"/>
      </w:r>
      <w:r w:rsidRPr="00FC4AD7">
        <w:t>Algorithm 1</w:t>
      </w:r>
      <w:r w:rsidRPr="00FC4AD7">
        <w:fldChar w:fldCharType="end"/>
      </w:r>
      <w:r w:rsidRPr="00FC4AD7">
        <w:t>.</w:t>
      </w:r>
    </w:p>
    <w:p w14:paraId="55CA76D9" w14:textId="77777777" w:rsidR="00A4066B" w:rsidRPr="00586FE1" w:rsidRDefault="00A4066B" w:rsidP="00A4066B">
      <w:pPr>
        <w:pStyle w:val="Caption"/>
        <w:keepNext/>
        <w:rPr>
          <w:i/>
          <w:iCs/>
        </w:rPr>
      </w:pPr>
      <w:bookmarkStart w:id="0" w:name="_Ref224810427"/>
      <w:r w:rsidRPr="00586FE1">
        <w:rPr>
          <w:bCs/>
        </w:rPr>
        <w:t xml:space="preserve">Algorithm </w:t>
      </w:r>
      <w:r w:rsidRPr="00586FE1">
        <w:rPr>
          <w:b w:val="0"/>
          <w:bCs/>
          <w:i/>
          <w:iCs/>
        </w:rPr>
        <w:fldChar w:fldCharType="begin"/>
      </w:r>
      <w:r w:rsidRPr="00586FE1">
        <w:rPr>
          <w:bCs/>
        </w:rPr>
        <w:instrText xml:space="preserve"> SEQ Algorithm \* ARABIC </w:instrText>
      </w:r>
      <w:r w:rsidRPr="00586FE1">
        <w:rPr>
          <w:b w:val="0"/>
          <w:bCs/>
          <w:i/>
          <w:iCs/>
        </w:rPr>
        <w:fldChar w:fldCharType="separate"/>
      </w:r>
      <w:r w:rsidRPr="00586FE1">
        <w:rPr>
          <w:bCs/>
          <w:noProof/>
        </w:rPr>
        <w:t>1</w:t>
      </w:r>
      <w:r w:rsidRPr="00586FE1">
        <w:rPr>
          <w:b w:val="0"/>
          <w:bCs/>
          <w:i/>
          <w:iCs/>
        </w:rPr>
        <w:fldChar w:fldCharType="end"/>
      </w:r>
      <w:bookmarkEnd w:id="0"/>
      <w:r w:rsidRPr="00586FE1">
        <w:rPr>
          <w:bCs/>
        </w:rPr>
        <w:t>.</w:t>
      </w:r>
      <w:r w:rsidRPr="00586FE1">
        <w:t xml:space="preserve"> EMD-GRU Forecasting</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07"/>
      </w:tblGrid>
      <w:tr w:rsidR="00A4066B" w14:paraId="3462E857" w14:textId="77777777">
        <w:tc>
          <w:tcPr>
            <w:tcW w:w="7015" w:type="dxa"/>
            <w:tcBorders>
              <w:top w:val="single" w:sz="18" w:space="0" w:color="auto"/>
            </w:tcBorders>
          </w:tcPr>
          <w:p w14:paraId="533E57CB" w14:textId="77777777" w:rsidR="00A4066B" w:rsidRDefault="00A4066B">
            <w:pPr>
              <w:ind w:firstLine="0"/>
              <w:rPr>
                <w:sz w:val="18"/>
                <w:szCs w:val="18"/>
                <w:lang w:val="en"/>
              </w:rPr>
            </w:pPr>
            <w:r>
              <w:rPr>
                <w:b/>
                <w:bCs/>
                <w:sz w:val="18"/>
                <w:szCs w:val="18"/>
                <w:lang w:val="en"/>
              </w:rPr>
              <w:t>Input:</w:t>
            </w:r>
            <w:r>
              <w:rPr>
                <w:sz w:val="18"/>
                <w:szCs w:val="18"/>
                <w:lang w:val="en"/>
              </w:rPr>
              <w:t xml:space="preserve"> Bitcoin price series </w:t>
            </w:r>
            <w:r>
              <w:rPr>
                <w:rFonts w:ascii="Cambria Math" w:hAnsi="Cambria Math" w:cs="Cambria Math"/>
                <w:sz w:val="18"/>
                <w:szCs w:val="18"/>
                <w:lang w:val="en"/>
              </w:rPr>
              <w:t>𝑥</w:t>
            </w:r>
            <w:r>
              <w:rPr>
                <w:sz w:val="18"/>
                <w:szCs w:val="18"/>
                <w:lang w:val="en"/>
              </w:rPr>
              <w:t>(</w:t>
            </w:r>
            <w:r>
              <w:rPr>
                <w:rFonts w:ascii="Cambria Math" w:hAnsi="Cambria Math" w:cs="Cambria Math"/>
                <w:sz w:val="18"/>
                <w:szCs w:val="18"/>
                <w:lang w:val="en"/>
              </w:rPr>
              <w:t>𝑡</w:t>
            </w:r>
            <w:r>
              <w:rPr>
                <w:sz w:val="18"/>
                <w:szCs w:val="18"/>
                <w:lang w:val="en"/>
              </w:rPr>
              <w:t>)</w:t>
            </w:r>
          </w:p>
          <w:p w14:paraId="19BAF558" w14:textId="596F7FB2" w:rsidR="00A4066B" w:rsidRDefault="00A4066B">
            <w:pPr>
              <w:ind w:firstLine="0"/>
              <w:rPr>
                <w:sz w:val="18"/>
                <w:szCs w:val="18"/>
                <w:lang w:val="en"/>
              </w:rPr>
            </w:pPr>
            <w:r>
              <w:rPr>
                <w:b/>
                <w:bCs/>
                <w:sz w:val="18"/>
                <w:szCs w:val="18"/>
                <w:lang w:val="en"/>
              </w:rPr>
              <w:t>Output:</w:t>
            </w:r>
            <w:r>
              <w:rPr>
                <w:sz w:val="18"/>
                <w:szCs w:val="18"/>
                <w:lang w:val="en"/>
              </w:rPr>
              <w:t xml:space="preserve"> Predicted price </w:t>
            </w:r>
            <m:oMath>
              <m:acc>
                <m:accPr>
                  <m:ctrlPr>
                    <w:rPr>
                      <w:rFonts w:ascii="Cambria Math" w:eastAsia="Palatino Linotype" w:hAnsi="Cambria Math"/>
                      <w:i/>
                      <w:sz w:val="24"/>
                      <w:szCs w:val="24"/>
                    </w:rPr>
                  </m:ctrlPr>
                </m:accPr>
                <m:e>
                  <m:r>
                    <w:rPr>
                      <w:rFonts w:ascii="Cambria Math" w:eastAsia="Palatino Linotype" w:hAnsi="Cambria Math"/>
                      <w:sz w:val="24"/>
                      <w:szCs w:val="24"/>
                    </w:rPr>
                    <m:t>y</m:t>
                  </m:r>
                </m:e>
              </m:acc>
              <m:d>
                <m:dPr>
                  <m:ctrlPr>
                    <w:rPr>
                      <w:rFonts w:ascii="Cambria Math" w:eastAsia="Palatino Linotype" w:hAnsi="Cambria Math"/>
                      <w:i/>
                      <w:sz w:val="24"/>
                      <w:szCs w:val="24"/>
                    </w:rPr>
                  </m:ctrlPr>
                </m:dPr>
                <m:e>
                  <m:r>
                    <w:rPr>
                      <w:rFonts w:ascii="Cambria Math" w:eastAsia="Palatino Linotype" w:hAnsi="Cambria Math"/>
                      <w:sz w:val="24"/>
                      <w:szCs w:val="24"/>
                    </w:rPr>
                    <m:t>t</m:t>
                  </m:r>
                </m:e>
              </m:d>
            </m:oMath>
          </w:p>
        </w:tc>
      </w:tr>
      <w:tr w:rsidR="00A4066B" w14:paraId="1F306231" w14:textId="77777777">
        <w:tc>
          <w:tcPr>
            <w:tcW w:w="7015" w:type="dxa"/>
            <w:tcBorders>
              <w:bottom w:val="single" w:sz="18" w:space="0" w:color="auto"/>
            </w:tcBorders>
          </w:tcPr>
          <w:p w14:paraId="5178345C" w14:textId="77777777" w:rsidR="00A4066B" w:rsidRDefault="00A4066B">
            <w:pPr>
              <w:ind w:firstLine="0"/>
              <w:rPr>
                <w:sz w:val="18"/>
                <w:szCs w:val="18"/>
              </w:rPr>
            </w:pPr>
            <w:r>
              <w:rPr>
                <w:sz w:val="18"/>
                <w:szCs w:val="18"/>
              </w:rPr>
              <w:t xml:space="preserve">Apply EMD to decompose </w:t>
            </w:r>
            <w:r>
              <w:rPr>
                <w:rFonts w:ascii="Cambria Math" w:hAnsi="Cambria Math" w:cs="Cambria Math"/>
                <w:sz w:val="18"/>
                <w:szCs w:val="18"/>
              </w:rPr>
              <w:t>𝑥</w:t>
            </w:r>
            <w:r>
              <w:rPr>
                <w:sz w:val="18"/>
                <w:szCs w:val="18"/>
              </w:rPr>
              <w:t>(</w:t>
            </w:r>
            <w:r>
              <w:rPr>
                <w:rFonts w:ascii="Cambria Math" w:hAnsi="Cambria Math" w:cs="Cambria Math"/>
                <w:sz w:val="18"/>
                <w:szCs w:val="18"/>
              </w:rPr>
              <w:t>𝑡</w:t>
            </w:r>
            <w:r>
              <w:rPr>
                <w:sz w:val="18"/>
                <w:szCs w:val="18"/>
              </w:rPr>
              <w:t>) into {</w:t>
            </w:r>
            <w:r>
              <w:rPr>
                <w:rFonts w:ascii="Cambria Math" w:hAnsi="Cambria Math" w:cs="Cambria Math"/>
                <w:sz w:val="18"/>
                <w:szCs w:val="18"/>
              </w:rPr>
              <w:t>𝐼𝑀𝐹</w:t>
            </w:r>
            <w:proofErr w:type="gramStart"/>
            <w:r>
              <w:rPr>
                <w:sz w:val="18"/>
                <w:szCs w:val="18"/>
              </w:rPr>
              <w:t>1,</w:t>
            </w:r>
            <w:r>
              <w:rPr>
                <w:rFonts w:ascii="Cambria Math" w:hAnsi="Cambria Math" w:cs="Cambria Math"/>
                <w:sz w:val="18"/>
                <w:szCs w:val="18"/>
              </w:rPr>
              <w:t>𝐼𝑀𝐹</w:t>
            </w:r>
            <w:r>
              <w:rPr>
                <w:sz w:val="18"/>
                <w:szCs w:val="18"/>
              </w:rPr>
              <w:t>2,…</w:t>
            </w:r>
            <w:proofErr w:type="gramEnd"/>
            <w:r>
              <w:rPr>
                <w:sz w:val="18"/>
                <w:szCs w:val="18"/>
              </w:rPr>
              <w:t>,</w:t>
            </w:r>
            <w:r>
              <w:rPr>
                <w:rFonts w:ascii="Cambria Math" w:hAnsi="Cambria Math" w:cs="Cambria Math"/>
                <w:sz w:val="18"/>
                <w:szCs w:val="18"/>
              </w:rPr>
              <w:t>𝐼𝑀𝐹𝐾</w:t>
            </w:r>
            <w:r>
              <w:rPr>
                <w:sz w:val="18"/>
                <w:szCs w:val="18"/>
              </w:rPr>
              <w:t>}.</w:t>
            </w:r>
          </w:p>
          <w:p w14:paraId="0B7D96B3" w14:textId="77777777" w:rsidR="00A4066B" w:rsidRDefault="00A4066B">
            <w:pPr>
              <w:ind w:firstLine="0"/>
              <w:rPr>
                <w:sz w:val="18"/>
                <w:szCs w:val="18"/>
              </w:rPr>
            </w:pPr>
            <w:r>
              <w:rPr>
                <w:sz w:val="18"/>
                <w:szCs w:val="18"/>
              </w:rPr>
              <w:t xml:space="preserve">For each </w:t>
            </w:r>
            <w:r>
              <w:rPr>
                <w:rFonts w:ascii="Cambria Math" w:hAnsi="Cambria Math" w:cs="Cambria Math"/>
                <w:sz w:val="18"/>
                <w:szCs w:val="18"/>
              </w:rPr>
              <w:t>𝐼𝑀𝐹𝑖</w:t>
            </w:r>
            <w:r>
              <w:rPr>
                <w:sz w:val="18"/>
                <w:szCs w:val="18"/>
              </w:rPr>
              <w:t>:</w:t>
            </w:r>
          </w:p>
          <w:p w14:paraId="6C0B0C5E" w14:textId="77777777" w:rsidR="00A4066B" w:rsidRDefault="00A4066B">
            <w:pPr>
              <w:ind w:firstLine="0"/>
              <w:rPr>
                <w:sz w:val="18"/>
                <w:szCs w:val="18"/>
              </w:rPr>
            </w:pPr>
            <w:r>
              <w:rPr>
                <w:sz w:val="18"/>
                <w:szCs w:val="18"/>
              </w:rPr>
              <w:tab/>
              <w:t>a. Normalize the data</w:t>
            </w:r>
          </w:p>
          <w:p w14:paraId="7EE66CF4" w14:textId="77777777" w:rsidR="00A4066B" w:rsidRDefault="00A4066B">
            <w:pPr>
              <w:ind w:firstLine="0"/>
              <w:rPr>
                <w:sz w:val="18"/>
                <w:szCs w:val="18"/>
              </w:rPr>
            </w:pPr>
            <w:r>
              <w:rPr>
                <w:sz w:val="18"/>
                <w:szCs w:val="18"/>
              </w:rPr>
              <w:tab/>
              <w:t>b. Construct sliding window samples</w:t>
            </w:r>
          </w:p>
          <w:p w14:paraId="68EEC1C0" w14:textId="77777777" w:rsidR="00A4066B" w:rsidRDefault="00A4066B">
            <w:pPr>
              <w:ind w:firstLine="0"/>
              <w:rPr>
                <w:sz w:val="18"/>
                <w:szCs w:val="18"/>
              </w:rPr>
            </w:pPr>
            <w:r>
              <w:rPr>
                <w:sz w:val="18"/>
                <w:szCs w:val="18"/>
              </w:rPr>
              <w:tab/>
              <w:t>c. Train a GRU model</w:t>
            </w:r>
          </w:p>
          <w:p w14:paraId="2A8BDF5B" w14:textId="22AA731E" w:rsidR="00A4066B" w:rsidRDefault="00A4066B">
            <w:pPr>
              <w:ind w:firstLine="0"/>
              <w:rPr>
                <w:sz w:val="18"/>
                <w:szCs w:val="18"/>
              </w:rPr>
            </w:pPr>
            <w:r>
              <w:rPr>
                <w:sz w:val="18"/>
                <w:szCs w:val="18"/>
              </w:rPr>
              <w:t xml:space="preserve">Generate predictions </w:t>
            </w:r>
            <m:oMath>
              <m:sSub>
                <m:sSubPr>
                  <m:ctrlPr>
                    <w:rPr>
                      <w:rFonts w:ascii="Cambria Math" w:eastAsia="Palatino Linotype" w:hAnsi="Cambria Math"/>
                      <w:i/>
                      <w:sz w:val="24"/>
                      <w:szCs w:val="24"/>
                    </w:rPr>
                  </m:ctrlPr>
                </m:sSubPr>
                <m:e>
                  <m:acc>
                    <m:accPr>
                      <m:ctrlPr>
                        <w:rPr>
                          <w:rFonts w:ascii="Cambria Math" w:eastAsia="Palatino Linotype" w:hAnsi="Cambria Math"/>
                          <w:i/>
                          <w:sz w:val="24"/>
                          <w:szCs w:val="24"/>
                        </w:rPr>
                      </m:ctrlPr>
                    </m:accPr>
                    <m:e>
                      <m:r>
                        <w:rPr>
                          <w:rFonts w:ascii="Cambria Math" w:eastAsia="Palatino Linotype" w:hAnsi="Cambria Math"/>
                          <w:sz w:val="24"/>
                          <w:szCs w:val="24"/>
                        </w:rPr>
                        <m:t>y</m:t>
                      </m:r>
                    </m:e>
                  </m:acc>
                </m:e>
                <m:sub>
                  <m:r>
                    <w:rPr>
                      <w:rFonts w:ascii="Cambria Math" w:eastAsia="Palatino Linotype" w:hAnsi="Cambria Math"/>
                      <w:sz w:val="24"/>
                      <w:szCs w:val="24"/>
                    </w:rPr>
                    <m:t>i</m:t>
                  </m:r>
                </m:sub>
              </m:sSub>
              <m:d>
                <m:dPr>
                  <m:ctrlPr>
                    <w:rPr>
                      <w:rFonts w:ascii="Cambria Math" w:eastAsia="Palatino Linotype" w:hAnsi="Cambria Math"/>
                      <w:i/>
                      <w:sz w:val="24"/>
                      <w:szCs w:val="24"/>
                    </w:rPr>
                  </m:ctrlPr>
                </m:dPr>
                <m:e>
                  <m:r>
                    <w:rPr>
                      <w:rFonts w:ascii="Cambria Math" w:eastAsia="Palatino Linotype" w:hAnsi="Cambria Math"/>
                      <w:sz w:val="24"/>
                      <w:szCs w:val="24"/>
                    </w:rPr>
                    <m:t>t</m:t>
                  </m:r>
                </m:e>
              </m:d>
            </m:oMath>
          </w:p>
          <w:p w14:paraId="53048285" w14:textId="77777777" w:rsidR="00A4066B" w:rsidRDefault="00A4066B">
            <w:pPr>
              <w:ind w:firstLine="0"/>
              <w:rPr>
                <w:sz w:val="18"/>
                <w:szCs w:val="18"/>
              </w:rPr>
            </w:pPr>
            <w:r>
              <w:rPr>
                <w:sz w:val="18"/>
                <w:szCs w:val="18"/>
              </w:rPr>
              <w:lastRenderedPageBreak/>
              <w:t>Aggregate predictions:</w:t>
            </w:r>
          </w:p>
          <w:p w14:paraId="6F1007B3" w14:textId="08B459C6" w:rsidR="00A4066B" w:rsidRDefault="00A4066B">
            <w:pPr>
              <w:ind w:firstLine="0"/>
              <w:rPr>
                <w:sz w:val="18"/>
                <w:szCs w:val="18"/>
              </w:rPr>
            </w:pPr>
            <w:r>
              <w:rPr>
                <w:sz w:val="18"/>
                <w:szCs w:val="18"/>
              </w:rPr>
              <w:tab/>
            </w:r>
            <w:r>
              <w:rPr>
                <w:sz w:val="18"/>
                <w:szCs w:val="18"/>
              </w:rPr>
              <w:tab/>
            </w:r>
            <m:oMath>
              <m:acc>
                <m:accPr>
                  <m:ctrlPr>
                    <w:rPr>
                      <w:rFonts w:ascii="Cambria Math" w:eastAsia="Palatino Linotype" w:hAnsi="Cambria Math"/>
                      <w:i/>
                      <w:sz w:val="24"/>
                      <w:szCs w:val="24"/>
                    </w:rPr>
                  </m:ctrlPr>
                </m:accPr>
                <m:e>
                  <m:r>
                    <w:rPr>
                      <w:rFonts w:ascii="Cambria Math" w:eastAsia="Palatino Linotype" w:hAnsi="Cambria Math"/>
                      <w:sz w:val="24"/>
                      <w:szCs w:val="24"/>
                    </w:rPr>
                    <m:t>y</m:t>
                  </m:r>
                </m:e>
              </m:acc>
              <m:r>
                <w:rPr>
                  <w:rFonts w:ascii="Cambria Math" w:eastAsia="Palatino Linotype" w:hAnsi="Cambria Math"/>
                  <w:sz w:val="24"/>
                  <w:szCs w:val="24"/>
                </w:rPr>
                <m:t xml:space="preserve">(t) = </m:t>
              </m:r>
              <m:nary>
                <m:naryPr>
                  <m:chr m:val="∑"/>
                  <m:limLoc m:val="undOvr"/>
                  <m:ctrlPr>
                    <w:rPr>
                      <w:rFonts w:ascii="Cambria Math" w:eastAsia="Palatino Linotype" w:hAnsi="Cambria Math"/>
                      <w:i/>
                      <w:sz w:val="24"/>
                      <w:szCs w:val="24"/>
                    </w:rPr>
                  </m:ctrlPr>
                </m:naryPr>
                <m:sub>
                  <m:r>
                    <w:rPr>
                      <w:rFonts w:ascii="Cambria Math" w:eastAsia="Palatino Linotype" w:hAnsi="Cambria Math"/>
                      <w:sz w:val="24"/>
                      <w:szCs w:val="24"/>
                    </w:rPr>
                    <m:t>i=1</m:t>
                  </m:r>
                </m:sub>
                <m:sup>
                  <m:r>
                    <w:rPr>
                      <w:rFonts w:ascii="Cambria Math" w:eastAsia="Palatino Linotype" w:hAnsi="Cambria Math"/>
                      <w:sz w:val="24"/>
                      <w:szCs w:val="24"/>
                    </w:rPr>
                    <m:t>K</m:t>
                  </m:r>
                </m:sup>
                <m:e>
                  <m:sSub>
                    <m:sSubPr>
                      <m:ctrlPr>
                        <w:rPr>
                          <w:rFonts w:ascii="Cambria Math" w:eastAsia="Palatino Linotype" w:hAnsi="Cambria Math"/>
                          <w:i/>
                          <w:sz w:val="24"/>
                          <w:szCs w:val="24"/>
                        </w:rPr>
                      </m:ctrlPr>
                    </m:sSubPr>
                    <m:e>
                      <m:acc>
                        <m:accPr>
                          <m:ctrlPr>
                            <w:rPr>
                              <w:rFonts w:ascii="Cambria Math" w:eastAsia="Palatino Linotype" w:hAnsi="Cambria Math"/>
                              <w:i/>
                              <w:sz w:val="24"/>
                              <w:szCs w:val="24"/>
                            </w:rPr>
                          </m:ctrlPr>
                        </m:accPr>
                        <m:e>
                          <m:r>
                            <w:rPr>
                              <w:rFonts w:ascii="Cambria Math" w:eastAsia="Palatino Linotype" w:hAnsi="Cambria Math"/>
                              <w:sz w:val="24"/>
                              <w:szCs w:val="24"/>
                            </w:rPr>
                            <m:t>y</m:t>
                          </m:r>
                        </m:e>
                      </m:acc>
                    </m:e>
                    <m:sub>
                      <m:r>
                        <w:rPr>
                          <w:rFonts w:ascii="Cambria Math" w:eastAsia="Palatino Linotype" w:hAnsi="Cambria Math"/>
                          <w:sz w:val="24"/>
                          <w:szCs w:val="24"/>
                        </w:rPr>
                        <m:t>i</m:t>
                      </m:r>
                    </m:sub>
                  </m:sSub>
                  <m:d>
                    <m:dPr>
                      <m:ctrlPr>
                        <w:rPr>
                          <w:rFonts w:ascii="Cambria Math" w:eastAsia="Palatino Linotype" w:hAnsi="Cambria Math"/>
                          <w:i/>
                          <w:sz w:val="24"/>
                          <w:szCs w:val="24"/>
                        </w:rPr>
                      </m:ctrlPr>
                    </m:dPr>
                    <m:e>
                      <m:r>
                        <w:rPr>
                          <w:rFonts w:ascii="Cambria Math" w:eastAsia="Palatino Linotype" w:hAnsi="Cambria Math"/>
                          <w:sz w:val="24"/>
                          <w:szCs w:val="24"/>
                        </w:rPr>
                        <m:t>t</m:t>
                      </m:r>
                    </m:e>
                  </m:d>
                </m:e>
              </m:nary>
            </m:oMath>
          </w:p>
          <w:p w14:paraId="550440A2" w14:textId="77777777" w:rsidR="00A4066B" w:rsidRDefault="00A4066B">
            <w:pPr>
              <w:ind w:firstLine="0"/>
              <w:rPr>
                <w:sz w:val="18"/>
                <w:szCs w:val="18"/>
              </w:rPr>
            </w:pPr>
            <w:r>
              <w:rPr>
                <w:sz w:val="18"/>
                <w:szCs w:val="18"/>
              </w:rPr>
              <w:t>Return final forecast</w:t>
            </w:r>
          </w:p>
        </w:tc>
      </w:tr>
    </w:tbl>
    <w:p w14:paraId="1E33B563" w14:textId="77777777" w:rsidR="00A4066B" w:rsidRPr="00FC4AD7" w:rsidRDefault="00A4066B" w:rsidP="00FC4AD7">
      <w:pPr>
        <w:pStyle w:val="heading20"/>
      </w:pPr>
      <w:r w:rsidRPr="00FC4AD7">
        <w:lastRenderedPageBreak/>
        <w:t>3.2</w:t>
      </w:r>
      <w:r w:rsidR="00FC4AD7">
        <w:t xml:space="preserve">   </w:t>
      </w:r>
      <w:r w:rsidRPr="00FC4AD7">
        <w:t>Empirical Mode Decomposition (EMD)</w:t>
      </w:r>
    </w:p>
    <w:p w14:paraId="40C26AA9" w14:textId="77777777" w:rsidR="00A4066B" w:rsidRPr="00FC4AD7" w:rsidRDefault="00A4066B" w:rsidP="00FC4AD7">
      <w:pPr>
        <w:pStyle w:val="p1a"/>
      </w:pPr>
      <w:r w:rsidRPr="00FC4AD7">
        <w:t xml:space="preserve">EMD introduced by Huang et al. </w:t>
      </w:r>
      <w:r w:rsidRPr="00FC4AD7">
        <w:fldChar w:fldCharType="begin"/>
      </w:r>
      <w:r w:rsidRPr="00FC4AD7">
        <w:instrText xml:space="preserve"> ADDIN ZOTERO_ITEM CSL_CITATION {"citationID":"9JEOm4Az","properties":{"formattedCitation":"[17]","plainCitation":"[17]","noteIndex":0},"citationItems":[{"id":1123,"uris":["http://zotero.org/users/local/DHziEHyZ/items/AFKZMR4Y"],"itemData":{"id":1123,"type":"article-journal","abstract":"A new method for analysing nonlinear and non-stationary data has been developed. The key part of the method is the ‘empirical mode decomposition’ method with which any complicated data set can be decomposed into a finite and often small number of ‘intrinsic mode functions’ that admit well-behaved Hilbert transforms. This decomposition method is adaptive, and, therefore, highly efficient. Since the decomposition is based on the local characteristic time scale of the data, it is applicable to nonlinear and non-stationary processes. With the Hilbert transform, the ‘instrinic mode functions’ yield instantaneous frequencies as functions of time that give sharp identifications of imbedded structures. The final presentation of the results is an energy-frequency-time distribution, designated as the Hilbert spectrum. In this method, the main conceptual innovations are the introduction of ‘intrinsic mode functions’ based on local properties of the signal, which make the instantaneous frequency meaningful; and the introduction of the instantaneous frequencies for complicated data sets, which eliminate the need for spurious harmonics to represent nonlinear and non-stationary signals. Examples from the numerical results of the classical nonlinear equation systems and data representing natural phenomena are given to demonstrate the power of this new method. Classical nonlinear system data are especially interesting, for they serve to illustrate the roles played by the nonlinear and non-stationary effects in the energy-frequency-time distribution.","container-title":"Proceedings of the Royal Society A: Mathematical, Physical and Engineering Sciences","DOI":"10.1098/rspa.1998.0193","ISSN":"1364-5021","issue":"1971","journalAbbreviation":"Proc. A","page":"903-995","source":"Silverchair","title":"The empirical mode decomposition and the Hilbert spectrum for nonlinear and non-stationary time series analysis","volume":"454","author":[{"family":"Huang","given":"Norden E."},{"family":"Shen","given":"Zheng"},{"family":"Long","given":"Steven R."},{"family":"Wu","given":"Manli C."},{"family":"Shih","given":"Hsing H."},{"family":"Zheng","given":"Quanan"},{"family":"Yen","given":"Nai-Chyuan"},{"family":"Tung","given":"Chi Chao"},{"family":"Liu","given":"Henry H."}],"issued":{"date-parts":[["1998",3,8]]}}}],"schema":"https://github.com/citation-style-language/schema/raw/master/csl-citation.json"} </w:instrText>
      </w:r>
      <w:r w:rsidRPr="00FC4AD7">
        <w:fldChar w:fldCharType="separate"/>
      </w:r>
      <w:r w:rsidRPr="00FC4AD7">
        <w:t>[17]</w:t>
      </w:r>
      <w:r w:rsidRPr="00FC4AD7">
        <w:fldChar w:fldCharType="end"/>
      </w:r>
      <w:r w:rsidRPr="00FC4AD7">
        <w:t>, is an adaptive signal decomposition technique designed for nonlinear and non-stationary time series. Unlike traditional methods such as Fourier or wavelet transforms, EMD does not require predefined basis functions.</w:t>
      </w:r>
    </w:p>
    <w:p w14:paraId="7D82AB1C" w14:textId="77777777" w:rsidR="00A4066B" w:rsidRPr="00FC4AD7" w:rsidRDefault="00A4066B" w:rsidP="00565692">
      <w:r w:rsidRPr="00FC4AD7">
        <w:t xml:space="preserve">The original signal </w:t>
      </w:r>
      <w:r w:rsidRPr="00565692">
        <w:rPr>
          <w:rFonts w:ascii="Cambria Math" w:hAnsi="Cambria Math" w:cs="Cambria Math"/>
        </w:rPr>
        <w:t>𝑥</w:t>
      </w:r>
      <w:r w:rsidRPr="00FC4AD7">
        <w:t>(</w:t>
      </w:r>
      <w:r w:rsidRPr="00565692">
        <w:rPr>
          <w:rFonts w:ascii="Cambria Math" w:hAnsi="Cambria Math" w:cs="Cambria Math"/>
        </w:rPr>
        <w:t>𝑡</w:t>
      </w:r>
      <w:r w:rsidRPr="00FC4AD7">
        <w:t>) is decomposed into a set of intrinsic mode functions and a residual component:</w:t>
      </w:r>
    </w:p>
    <w:tbl>
      <w:tblPr>
        <w:tblW w:w="6840" w:type="dxa"/>
        <w:tblCellMar>
          <w:left w:w="0" w:type="dxa"/>
          <w:right w:w="0" w:type="dxa"/>
        </w:tblCellMar>
        <w:tblLook w:val="04A0" w:firstRow="1" w:lastRow="0" w:firstColumn="1" w:lastColumn="0" w:noHBand="0" w:noVBand="1"/>
      </w:tblPr>
      <w:tblGrid>
        <w:gridCol w:w="6210"/>
        <w:gridCol w:w="630"/>
      </w:tblGrid>
      <w:tr w:rsidR="00A4066B" w:rsidRPr="0013287D" w14:paraId="6BB32C7D" w14:textId="77777777">
        <w:tc>
          <w:tcPr>
            <w:tcW w:w="6210" w:type="dxa"/>
          </w:tcPr>
          <w:p w14:paraId="18EB4996" w14:textId="1718CEA6" w:rsidR="00A4066B" w:rsidRPr="005D4B4A" w:rsidRDefault="005D4B4A">
            <w:pPr>
              <w:jc w:val="center"/>
              <w:rPr>
                <w:lang w:val="en"/>
              </w:rPr>
            </w:pPr>
            <m:oMathPara>
              <m:oMath>
                <m:r>
                  <w:rPr>
                    <w:rFonts w:ascii="Cambria Math" w:hAnsi="Cambria Math"/>
                    <w:sz w:val="24"/>
                    <w:szCs w:val="24"/>
                  </w:rPr>
                  <m:t>x(t)=</m:t>
                </m:r>
                <m:nary>
                  <m:naryPr>
                    <m:chr m:val="∑"/>
                    <m:ctrlPr>
                      <w:rPr>
                        <w:rFonts w:ascii="Cambria Math" w:hAnsi="Cambria Math"/>
                        <w:sz w:val="24"/>
                        <w:szCs w:val="24"/>
                      </w:rPr>
                    </m:ctrlPr>
                  </m:naryPr>
                  <m:sub>
                    <m:r>
                      <w:rPr>
                        <w:rFonts w:ascii="Cambria Math" w:hAnsi="Cambria Math"/>
                        <w:sz w:val="24"/>
                        <w:szCs w:val="24"/>
                      </w:rPr>
                      <m:t>i=1</m:t>
                    </m:r>
                    <m:ctrlPr>
                      <w:rPr>
                        <w:rFonts w:ascii="Cambria Math" w:hAnsi="Cambria Math"/>
                        <w:i/>
                        <w:sz w:val="24"/>
                        <w:szCs w:val="24"/>
                      </w:rPr>
                    </m:ctrlPr>
                  </m:sub>
                  <m:sup>
                    <m:r>
                      <w:rPr>
                        <w:rFonts w:ascii="Cambria Math" w:hAnsi="Cambria Math"/>
                        <w:sz w:val="24"/>
                        <w:szCs w:val="24"/>
                      </w:rPr>
                      <m:t>N</m:t>
                    </m:r>
                    <m:ctrlPr>
                      <w:rPr>
                        <w:rFonts w:ascii="Cambria Math" w:hAnsi="Cambria Math"/>
                        <w:i/>
                        <w:sz w:val="24"/>
                        <w:szCs w:val="24"/>
                      </w:rPr>
                    </m:ctrlPr>
                  </m:sup>
                  <m:e>
                    <m:r>
                      <w:rPr>
                        <w:rFonts w:ascii="Cambria Math" w:hAnsi="Cambria Math"/>
                        <w:sz w:val="24"/>
                        <w:szCs w:val="24"/>
                      </w:rPr>
                      <m:t>IM</m:t>
                    </m:r>
                    <m:sSub>
                      <m:sSubPr>
                        <m:ctrlPr>
                          <w:rPr>
                            <w:rFonts w:ascii="Cambria Math" w:hAnsi="Cambria Math"/>
                            <w:i/>
                            <w:sz w:val="24"/>
                            <w:szCs w:val="24"/>
                          </w:rPr>
                        </m:ctrlPr>
                      </m:sSubPr>
                      <m:e>
                        <m:r>
                          <w:rPr>
                            <w:rFonts w:ascii="Cambria Math" w:hAnsi="Cambria Math"/>
                            <w:sz w:val="24"/>
                            <w:szCs w:val="24"/>
                          </w:rPr>
                          <m:t>F</m:t>
                        </m:r>
                      </m:e>
                      <m:sub>
                        <m:r>
                          <w:rPr>
                            <w:rFonts w:ascii="Cambria Math" w:hAnsi="Cambria Math"/>
                            <w:sz w:val="24"/>
                            <w:szCs w:val="24"/>
                          </w:rPr>
                          <m:t>i</m:t>
                        </m:r>
                      </m:sub>
                    </m:sSub>
                    <m:d>
                      <m:dPr>
                        <m:ctrlPr>
                          <w:rPr>
                            <w:rFonts w:ascii="Cambria Math" w:hAnsi="Cambria Math"/>
                            <w:i/>
                            <w:sz w:val="24"/>
                            <w:szCs w:val="24"/>
                          </w:rPr>
                        </m:ctrlPr>
                      </m:dPr>
                      <m:e>
                        <m:r>
                          <w:rPr>
                            <w:rFonts w:ascii="Cambria Math" w:hAnsi="Cambria Math"/>
                            <w:sz w:val="24"/>
                            <w:szCs w:val="24"/>
                          </w:rPr>
                          <m:t>t</m:t>
                        </m:r>
                      </m:e>
                    </m:d>
                    <m:ctrlPr>
                      <w:rPr>
                        <w:rFonts w:ascii="Cambria Math" w:hAnsi="Cambria Math"/>
                        <w:i/>
                        <w:sz w:val="24"/>
                        <w:szCs w:val="24"/>
                      </w:rPr>
                    </m:ctrlPr>
                  </m:e>
                </m:nary>
                <m:r>
                  <w:rPr>
                    <w:rFonts w:ascii="Cambria Math" w:hAnsi="Cambria Math"/>
                    <w:sz w:val="24"/>
                    <w:szCs w:val="24"/>
                  </w:rPr>
                  <m:t>+r</m:t>
                </m:r>
                <m:d>
                  <m:dPr>
                    <m:ctrlPr>
                      <w:rPr>
                        <w:rFonts w:ascii="Cambria Math" w:hAnsi="Cambria Math"/>
                        <w:i/>
                        <w:sz w:val="24"/>
                        <w:szCs w:val="24"/>
                      </w:rPr>
                    </m:ctrlPr>
                  </m:dPr>
                  <m:e>
                    <m:r>
                      <w:rPr>
                        <w:rFonts w:ascii="Cambria Math" w:hAnsi="Cambria Math"/>
                        <w:sz w:val="24"/>
                        <w:szCs w:val="24"/>
                      </w:rPr>
                      <m:t>t</m:t>
                    </m:r>
                  </m:e>
                </m:d>
              </m:oMath>
            </m:oMathPara>
          </w:p>
        </w:tc>
        <w:tc>
          <w:tcPr>
            <w:tcW w:w="630" w:type="dxa"/>
            <w:vAlign w:val="center"/>
          </w:tcPr>
          <w:p w14:paraId="1572AF13" w14:textId="77777777" w:rsidR="00A4066B" w:rsidRDefault="00A4066B" w:rsidP="00565692">
            <w:pPr>
              <w:rPr>
                <w:rFonts w:eastAsia="Calibri" w:cs="Calibri"/>
                <w:sz w:val="22"/>
                <w:szCs w:val="22"/>
                <w:lang w:val="en"/>
              </w:rPr>
            </w:pPr>
            <w:bookmarkStart w:id="1" w:name="_Ref224466100"/>
            <w:r>
              <w:rPr>
                <w:lang w:val="en"/>
              </w:rPr>
              <w:t>(</w:t>
            </w:r>
            <w:r>
              <w:rPr>
                <w:rFonts w:eastAsia="Calibri" w:cs="Calibri"/>
                <w:sz w:val="22"/>
                <w:szCs w:val="22"/>
                <w:lang w:val="en"/>
              </w:rPr>
              <w:t>1</w:t>
            </w:r>
            <w:r>
              <w:rPr>
                <w:lang w:val="en"/>
              </w:rPr>
              <w:t>)</w:t>
            </w:r>
            <w:bookmarkEnd w:id="1"/>
          </w:p>
        </w:tc>
      </w:tr>
    </w:tbl>
    <w:p w14:paraId="53BEA747" w14:textId="77777777" w:rsidR="00A4066B" w:rsidRPr="00FC4AD7" w:rsidRDefault="00A4066B" w:rsidP="00FC4AD7">
      <w:r w:rsidRPr="00FC4AD7">
        <w:t>Each IMF satisfies the following conditions:</w:t>
      </w:r>
    </w:p>
    <w:p w14:paraId="54242FF9" w14:textId="77777777" w:rsidR="00A4066B" w:rsidRPr="00FC4AD7" w:rsidRDefault="00A4066B" w:rsidP="00FC4AD7">
      <w:pPr>
        <w:numPr>
          <w:ilvl w:val="0"/>
          <w:numId w:val="9"/>
        </w:numPr>
      </w:pPr>
      <w:r w:rsidRPr="00FC4AD7">
        <w:t xml:space="preserve">The number of extrema and zero crossings </w:t>
      </w:r>
      <w:proofErr w:type="gramStart"/>
      <w:r w:rsidRPr="00FC4AD7">
        <w:t>differs</w:t>
      </w:r>
      <w:proofErr w:type="gramEnd"/>
      <w:r w:rsidRPr="00FC4AD7">
        <w:t xml:space="preserve"> by at most one.</w:t>
      </w:r>
    </w:p>
    <w:p w14:paraId="0B5153DA" w14:textId="77777777" w:rsidR="00A4066B" w:rsidRPr="00FC4AD7" w:rsidRDefault="00A4066B" w:rsidP="00FC4AD7">
      <w:pPr>
        <w:numPr>
          <w:ilvl w:val="0"/>
          <w:numId w:val="9"/>
        </w:numPr>
      </w:pPr>
      <w:r w:rsidRPr="00FC4AD7">
        <w:t>The local mean of the upper and lower envelopes is zero.</w:t>
      </w:r>
    </w:p>
    <w:p w14:paraId="4A0A975B" w14:textId="77777777" w:rsidR="00A4066B" w:rsidRPr="00FC4AD7" w:rsidRDefault="00A4066B" w:rsidP="00565692">
      <w:r w:rsidRPr="00FC4AD7">
        <w:t>In the context of Bitcoin price data, the decomposed components can be interpreted as follows:</w:t>
      </w:r>
    </w:p>
    <w:p w14:paraId="135D4AA3" w14:textId="77777777" w:rsidR="00A4066B" w:rsidRPr="00FC4AD7" w:rsidRDefault="00A4066B" w:rsidP="00FC4AD7">
      <w:pPr>
        <w:numPr>
          <w:ilvl w:val="0"/>
          <w:numId w:val="9"/>
        </w:numPr>
      </w:pPr>
      <w:r w:rsidRPr="00FC4AD7">
        <w:t>High-frequency IMFs: Capture short-term fluctuations and market noise</w:t>
      </w:r>
    </w:p>
    <w:p w14:paraId="7D051B1D" w14:textId="77777777" w:rsidR="00A4066B" w:rsidRPr="00FC4AD7" w:rsidRDefault="00A4066B" w:rsidP="00FC4AD7">
      <w:pPr>
        <w:numPr>
          <w:ilvl w:val="0"/>
          <w:numId w:val="9"/>
        </w:numPr>
      </w:pPr>
      <w:r w:rsidRPr="00FC4AD7">
        <w:t>Medium-frequency IMFs: Represent cyclic or intermediate-term dynamics</w:t>
      </w:r>
    </w:p>
    <w:p w14:paraId="47EE27D0" w14:textId="77777777" w:rsidR="00A4066B" w:rsidRPr="00FC4AD7" w:rsidRDefault="00A4066B" w:rsidP="00FC4AD7">
      <w:pPr>
        <w:numPr>
          <w:ilvl w:val="0"/>
          <w:numId w:val="9"/>
        </w:numPr>
      </w:pPr>
      <w:r w:rsidRPr="00FC4AD7">
        <w:t>Low-frequency IMFs and residual: Reflect long-term trends</w:t>
      </w:r>
    </w:p>
    <w:p w14:paraId="167A2F35" w14:textId="77777777" w:rsidR="00A4066B" w:rsidRPr="00FC4AD7" w:rsidRDefault="00A4066B" w:rsidP="00FC4AD7">
      <w:r w:rsidRPr="00FC4AD7">
        <w:t xml:space="preserve">By separating these components, EMD reduces signal complexity and facilitates more effective learning by downstream models. This decomposition-based strategy has been shown to improve forecasting performance in financial time series applications </w:t>
      </w:r>
      <w:r w:rsidRPr="00FC4AD7">
        <w:fldChar w:fldCharType="begin"/>
      </w:r>
      <w:r w:rsidRPr="00FC4AD7">
        <w:instrText xml:space="preserve"> ADDIN ZOTERO_ITEM CSL_CITATION {"citationID":"wMbb908Z","properties":{"formattedCitation":"[23]","plainCitation":"[23]","noteIndex":0},"citationItems":[{"id":1141,"uris":["http://zotero.org/users/local/DHziEHyZ/items/YX5X2KFZ"],"itemData":{"id":1141,"type":"article-journal","abstract":"This study examines the predictability of three major cryptocurrencies—bitcoin, ethereum, and litecoin—and the profitability of trading strategies devised upon machine learning techniques (e.g., linear models, random forests, and support vector machines). The models are validated in a period characterized by unprecedented turmoil and tested in a period of bear markets, allowing the assessment of whether the predictions are good even when the market direction changes between the validation and test periods. The classification and regression methods use attributes from trading and network activity for the period from August 15, 2015 to March 03, 2019, with the test sample beginning on April 13, 2018. For the test period, five out of 18 individual models have success rates of less than 50%. The trading strategies are built on model assembling. The ensemble assuming that five models produce identical signals (Ensemble 5) achieves the best performance for ethereum and litecoin, with annualized Sharpe ratios of 80.17% and 91.35% and annualized returns (after proportional round-trip trading costs of 0.5%) of 9.62% and 5.73%, respectively. These positive results support the claim that machine learning provides robust techniques for exploring the predictability of cryptocurrencies and for devising profitable trading strategies in these markets, even under adverse market conditions.","container-title":"Financial Innovation","DOI":"10.1186/s40854-020-00217-x","ISSN":"2199-4730","issue":"1","journalAbbreviation":"Financ Innov","language":"en","page":"3","source":"Springer Link","title":"Forecasting and trading cryptocurrencies with machine learning under changing market conditions","volume":"7","author":[{"family":"Sebastião","given":"Helder"},{"family":"Godinho","given":"Pedro"}],"issued":{"date-parts":[["2021",1,6]]}}}],"schema":"https://github.com/citation-style-language/schema/raw/master/csl-citation.json"} </w:instrText>
      </w:r>
      <w:r w:rsidRPr="00FC4AD7">
        <w:fldChar w:fldCharType="separate"/>
      </w:r>
      <w:r w:rsidRPr="00FC4AD7">
        <w:t>[23]</w:t>
      </w:r>
      <w:r w:rsidRPr="00FC4AD7">
        <w:fldChar w:fldCharType="end"/>
      </w:r>
      <w:r w:rsidRPr="00FC4AD7">
        <w:t>.</w:t>
      </w:r>
    </w:p>
    <w:p w14:paraId="6871B328" w14:textId="77777777" w:rsidR="00A4066B" w:rsidRPr="00FC4AD7" w:rsidRDefault="00A4066B" w:rsidP="00FC4AD7">
      <w:pPr>
        <w:pStyle w:val="heading20"/>
      </w:pPr>
      <w:r w:rsidRPr="00FC4AD7">
        <w:t>3.3</w:t>
      </w:r>
      <w:r w:rsidR="00FC4AD7">
        <w:t xml:space="preserve">   </w:t>
      </w:r>
      <w:r w:rsidRPr="00FC4AD7">
        <w:t>GRU-Based Forecasting Model</w:t>
      </w:r>
    </w:p>
    <w:p w14:paraId="6CF2FA7E" w14:textId="77777777" w:rsidR="00A4066B" w:rsidRPr="00FC4AD7" w:rsidRDefault="00A4066B" w:rsidP="00FC4AD7">
      <w:pPr>
        <w:pStyle w:val="p1a"/>
      </w:pPr>
      <w:r w:rsidRPr="00FC4AD7">
        <w:t xml:space="preserve">GRU is a class of recurrent neural networks designed to capture temporal dependencies while addressing the vanishing gradient problem. Compared to LSTM, GRU offers a simpler architecture with fewer parameters while maintaining strong predictive performance </w:t>
      </w:r>
      <w:r w:rsidRPr="00FC4AD7">
        <w:fldChar w:fldCharType="begin"/>
      </w:r>
      <w:r w:rsidRPr="00FC4AD7">
        <w:instrText xml:space="preserve"> ADDIN ZOTERO_ITEM CSL_CITATION {"citationID":"hqeIkA79","properties":{"formattedCitation":"[14]","plainCitation":"[14]","noteIndex":0},"citationItems":[{"id":1115,"uris":["http://zotero.org/users/local/DHziEHyZ/items/F994M96Z"],"itemData":{"id":1115,"type":"article-journal","abstract":"As a new type of currency introduced in the new millennium, cryptocurrency has established its ecosystems and attracts many people to use and invest in it. However, cryptocurrencies are highly dynamic and volatile, making it challenging to predict their future values. In this research, we use a multivariate prediction approach and three different recurrent neural networks (RNNs), namely the long short-term memory (LSTM), the bidirectional LSTM (Bi-LSTM), and the gated recurrent unit (GRU). We also propose simple three layers deep networks architecture for the regression task in this study. From the experimental results on five major cryptocurrencies, i.e., Bitcoin (BTC), Ethereum (ETH), Cardano (ADA), Tether (USDT), and Binance Coin (BNB), we find that both Bi-LSTM and GRU have similar performance results in terms of accuracy. However, in terms of the execution time, both LSTM and GRU have similar results, where GRU is slightly better and has lower variation results on average.","container-title":"Journal of Big Data","DOI":"10.1186/s40537-022-00601-7","ISSN":"2196-1115","issue":"1","journalAbbreviation":"J Big Data","language":"en","page":"50","source":"Springer Link","title":"Multivariate cryptocurrency prediction: comparative analysis of three recurrent neural networks approaches","title-short":"Multivariate cryptocurrency prediction","volume":"9","author":[{"family":"Hansun","given":"Seng"},{"family":"Wicaksana","given":"Arya"},{"family":"Khaliq","given":"Abdul Q. M."}],"issued":{"date-parts":[["2022",4,28]]}}}],"schema":"https://github.com/citation-style-language/schema/raw/master/csl-citation.json"} </w:instrText>
      </w:r>
      <w:r w:rsidRPr="00FC4AD7">
        <w:fldChar w:fldCharType="separate"/>
      </w:r>
      <w:r w:rsidRPr="00FC4AD7">
        <w:t>[14]</w:t>
      </w:r>
      <w:r w:rsidRPr="00FC4AD7">
        <w:fldChar w:fldCharType="end"/>
      </w:r>
      <w:r w:rsidRPr="00FC4AD7">
        <w:t xml:space="preserve">. The GRU architecture is shown in </w:t>
      </w:r>
      <w:r w:rsidRPr="00FC4AD7">
        <w:fldChar w:fldCharType="begin"/>
      </w:r>
      <w:r w:rsidRPr="00FC4AD7">
        <w:instrText xml:space="preserve"> REF _Ref224809182 \h  \* MERGEFORMAT </w:instrText>
      </w:r>
      <w:r w:rsidRPr="00FC4AD7">
        <w:fldChar w:fldCharType="separate"/>
      </w:r>
      <w:r w:rsidRPr="00FC4AD7">
        <w:t>Fig. 2</w:t>
      </w:r>
      <w:r w:rsidRPr="00FC4AD7">
        <w:fldChar w:fldCharType="end"/>
      </w:r>
      <w:r w:rsidRPr="00FC4AD7">
        <w:t>.</w:t>
      </w:r>
    </w:p>
    <w:p w14:paraId="4080A25E" w14:textId="60AD4621" w:rsidR="00A4066B" w:rsidRDefault="005D4B4A" w:rsidP="00A4066B">
      <w:pPr>
        <w:keepNext/>
        <w:widowControl w:val="0"/>
        <w:spacing w:before="120"/>
        <w:jc w:val="center"/>
      </w:pPr>
      <w:r w:rsidRPr="00A4066B">
        <w:rPr>
          <w:rFonts w:ascii="Times New Roman" w:eastAsia="Palatino Linotype" w:hAnsi="Times New Roman"/>
          <w:noProof/>
          <w:sz w:val="24"/>
          <w:szCs w:val="24"/>
        </w:rPr>
        <w:lastRenderedPageBreak/>
        <w:drawing>
          <wp:inline distT="0" distB="0" distL="0" distR="0" wp14:anchorId="4899C1F5" wp14:editId="06D3AA13">
            <wp:extent cx="3334385" cy="1662430"/>
            <wp:effectExtent l="0" t="0" r="0" b="0"/>
            <wp:docPr id="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334385" cy="1662430"/>
                    </a:xfrm>
                    <a:prstGeom prst="rect">
                      <a:avLst/>
                    </a:prstGeom>
                    <a:noFill/>
                    <a:ln>
                      <a:noFill/>
                    </a:ln>
                  </pic:spPr>
                </pic:pic>
              </a:graphicData>
            </a:graphic>
          </wp:inline>
        </w:drawing>
      </w:r>
    </w:p>
    <w:p w14:paraId="21E1CDE3" w14:textId="77777777" w:rsidR="00A4066B" w:rsidRPr="00FC4AD7" w:rsidRDefault="00A4066B" w:rsidP="00FC4AD7">
      <w:pPr>
        <w:pStyle w:val="figurelegend"/>
      </w:pPr>
      <w:bookmarkStart w:id="2" w:name="_Ref224809182"/>
      <w:r w:rsidRPr="00FC4AD7">
        <w:rPr>
          <w:b/>
          <w:bCs/>
        </w:rPr>
        <w:t xml:space="preserve">Fig. </w:t>
      </w:r>
      <w:r w:rsidRPr="00FC4AD7">
        <w:rPr>
          <w:b/>
          <w:bCs/>
        </w:rPr>
        <w:fldChar w:fldCharType="begin"/>
      </w:r>
      <w:r w:rsidRPr="00FC4AD7">
        <w:rPr>
          <w:b/>
          <w:bCs/>
        </w:rPr>
        <w:instrText xml:space="preserve"> SEQ Figure \* ARABIC </w:instrText>
      </w:r>
      <w:r w:rsidRPr="00FC4AD7">
        <w:rPr>
          <w:b/>
          <w:bCs/>
        </w:rPr>
        <w:fldChar w:fldCharType="separate"/>
      </w:r>
      <w:r w:rsidRPr="00FC4AD7">
        <w:rPr>
          <w:b/>
          <w:bCs/>
        </w:rPr>
        <w:t>2</w:t>
      </w:r>
      <w:r w:rsidRPr="00FC4AD7">
        <w:rPr>
          <w:b/>
          <w:bCs/>
        </w:rPr>
        <w:fldChar w:fldCharType="end"/>
      </w:r>
      <w:bookmarkEnd w:id="2"/>
      <w:r w:rsidRPr="00FC4AD7">
        <w:rPr>
          <w:b/>
          <w:bCs/>
        </w:rPr>
        <w:t>.</w:t>
      </w:r>
      <w:r w:rsidRPr="00FC4AD7">
        <w:t xml:space="preserve"> The internal architecture of a GRU unit</w:t>
      </w:r>
    </w:p>
    <w:p w14:paraId="6EA439DB" w14:textId="77777777" w:rsidR="00A4066B" w:rsidRPr="00FC4AD7" w:rsidRDefault="00A4066B" w:rsidP="00FC4AD7">
      <w:r w:rsidRPr="00FC4AD7">
        <w:t xml:space="preserve">At each time step </w:t>
      </w:r>
      <w:r w:rsidRPr="00FC4AD7">
        <w:rPr>
          <w:rFonts w:ascii="Cambria Math" w:hAnsi="Cambria Math" w:cs="Cambria Math"/>
        </w:rPr>
        <w:t>𝑡</w:t>
      </w:r>
      <w:r w:rsidRPr="00FC4AD7">
        <w:t>, the GRU unit computes:</w:t>
      </w:r>
    </w:p>
    <w:p w14:paraId="2D4C6FD6" w14:textId="77777777" w:rsidR="00A4066B" w:rsidRPr="00FC4AD7" w:rsidRDefault="00A4066B" w:rsidP="00FC4AD7">
      <w:r w:rsidRPr="00FC4AD7">
        <w:t>Update gate:</w:t>
      </w:r>
    </w:p>
    <w:tbl>
      <w:tblPr>
        <w:tblW w:w="7740" w:type="dxa"/>
        <w:tblCellMar>
          <w:left w:w="0" w:type="dxa"/>
          <w:right w:w="0" w:type="dxa"/>
        </w:tblCellMar>
        <w:tblLook w:val="04A0" w:firstRow="1" w:lastRow="0" w:firstColumn="1" w:lastColumn="0" w:noHBand="0" w:noVBand="1"/>
      </w:tblPr>
      <w:tblGrid>
        <w:gridCol w:w="7110"/>
        <w:gridCol w:w="630"/>
      </w:tblGrid>
      <w:tr w:rsidR="00A4066B" w:rsidRPr="00CE41AD" w14:paraId="35BBC141" w14:textId="77777777">
        <w:tc>
          <w:tcPr>
            <w:tcW w:w="7110" w:type="dxa"/>
          </w:tcPr>
          <w:p w14:paraId="686B2028" w14:textId="1FAAC5E7" w:rsidR="00A4066B" w:rsidRPr="005D4B4A" w:rsidRDefault="00000000">
            <w:pPr>
              <w:spacing w:before="120" w:after="120" w:line="360" w:lineRule="auto"/>
              <w:jc w:val="center"/>
              <w:rPr>
                <w:rFonts w:ascii="Palatino Linotype" w:eastAsia="Calibri" w:hAnsi="Palatino Linotype" w:cs="Calibri"/>
                <w:sz w:val="22"/>
                <w:szCs w:val="22"/>
                <w:lang w:val="en"/>
              </w:rPr>
            </w:pPr>
            <m:oMathPara>
              <m:oMath>
                <m:sSub>
                  <m:sSubPr>
                    <m:ctrlPr>
                      <w:rPr>
                        <w:rFonts w:ascii="Cambria Math" w:hAnsi="Cambria Math"/>
                        <w:i/>
                      </w:rPr>
                    </m:ctrlPr>
                  </m:sSubPr>
                  <m:e>
                    <m:r>
                      <w:rPr>
                        <w:rFonts w:ascii="Cambria Math" w:hAnsi="Cambria Math"/>
                      </w:rPr>
                      <m:t>z</m:t>
                    </m:r>
                  </m:e>
                  <m:sub>
                    <m:r>
                      <w:rPr>
                        <w:rFonts w:ascii="Cambria Math" w:hAnsi="Cambria Math"/>
                      </w:rPr>
                      <m:t>t</m:t>
                    </m:r>
                  </m:sub>
                </m:sSub>
                <m:r>
                  <w:rPr>
                    <w:rFonts w:ascii="Cambria Math" w:hAnsi="Cambria Math"/>
                  </w:rPr>
                  <m:t>=σ (</m:t>
                </m:r>
                <m:sSub>
                  <m:sSubPr>
                    <m:ctrlPr>
                      <w:rPr>
                        <w:rFonts w:ascii="Cambria Math" w:hAnsi="Cambria Math"/>
                        <w:i/>
                      </w:rPr>
                    </m:ctrlPr>
                  </m:sSubPr>
                  <m:e>
                    <m:r>
                      <w:rPr>
                        <w:rFonts w:ascii="Cambria Math" w:hAnsi="Cambria Math"/>
                      </w:rPr>
                      <m:t>W</m:t>
                    </m:r>
                  </m:e>
                  <m:sub>
                    <m:r>
                      <w:rPr>
                        <w:rFonts w:ascii="Cambria Math" w:hAnsi="Cambria Math"/>
                      </w:rPr>
                      <m:t>z</m:t>
                    </m:r>
                  </m:sub>
                </m:sSub>
                <m:sSub>
                  <m:sSubPr>
                    <m:ctrlPr>
                      <w:rPr>
                        <w:rFonts w:ascii="Cambria Math" w:hAnsi="Cambria Math"/>
                        <w:i/>
                      </w:rPr>
                    </m:ctrlPr>
                  </m:sSubPr>
                  <m:e>
                    <m:r>
                      <w:rPr>
                        <w:rFonts w:ascii="Cambria Math" w:hAnsi="Cambria Math"/>
                      </w:rPr>
                      <m:t>h</m:t>
                    </m:r>
                  </m:e>
                  <m:sub>
                    <m:r>
                      <w:rPr>
                        <w:rFonts w:ascii="Cambria Math" w:hAnsi="Cambria Math"/>
                      </w:rPr>
                      <m:t>t-1</m:t>
                    </m:r>
                  </m:sub>
                </m:sSub>
                <m:r>
                  <w:rPr>
                    <w:rFonts w:ascii="Cambria Math" w:hAnsi="Cambria Math"/>
                  </w:rPr>
                  <m:t>+</m:t>
                </m:r>
                <m:sSub>
                  <m:sSubPr>
                    <m:ctrlPr>
                      <w:rPr>
                        <w:rFonts w:ascii="Cambria Math" w:hAnsi="Cambria Math"/>
                        <w:i/>
                      </w:rPr>
                    </m:ctrlPr>
                  </m:sSubPr>
                  <m:e>
                    <m:r>
                      <w:rPr>
                        <w:rFonts w:ascii="Cambria Math" w:hAnsi="Cambria Math"/>
                      </w:rPr>
                      <m:t>U</m:t>
                    </m:r>
                  </m:e>
                  <m:sub>
                    <m:r>
                      <w:rPr>
                        <w:rFonts w:ascii="Cambria Math" w:hAnsi="Cambria Math"/>
                      </w:rPr>
                      <m:t>z</m:t>
                    </m:r>
                  </m:sub>
                </m:sSub>
                <m:sSub>
                  <m:sSubPr>
                    <m:ctrlPr>
                      <w:rPr>
                        <w:rFonts w:ascii="Cambria Math" w:hAnsi="Cambria Math"/>
                        <w:i/>
                      </w:rPr>
                    </m:ctrlPr>
                  </m:sSubPr>
                  <m:e>
                    <m:r>
                      <w:rPr>
                        <w:rFonts w:ascii="Cambria Math" w:hAnsi="Cambria Math"/>
                      </w:rPr>
                      <m:t>x</m:t>
                    </m:r>
                  </m:e>
                  <m:sub>
                    <m:r>
                      <w:rPr>
                        <w:rFonts w:ascii="Cambria Math" w:hAnsi="Cambria Math"/>
                      </w:rPr>
                      <m:t>t</m:t>
                    </m:r>
                  </m:sub>
                </m:sSub>
                <m:r>
                  <w:rPr>
                    <w:rFonts w:ascii="Cambria Math" w:hAnsi="Cambria Math"/>
                  </w:rPr>
                  <m:t>+</m:t>
                </m:r>
                <m:sSub>
                  <m:sSubPr>
                    <m:ctrlPr>
                      <w:rPr>
                        <w:rFonts w:ascii="Cambria Math" w:hAnsi="Cambria Math"/>
                        <w:i/>
                      </w:rPr>
                    </m:ctrlPr>
                  </m:sSubPr>
                  <m:e>
                    <m:r>
                      <w:rPr>
                        <w:rFonts w:ascii="Cambria Math" w:hAnsi="Cambria Math"/>
                      </w:rPr>
                      <m:t>b</m:t>
                    </m:r>
                  </m:e>
                  <m:sub>
                    <m:r>
                      <w:rPr>
                        <w:rFonts w:ascii="Cambria Math" w:hAnsi="Cambria Math"/>
                      </w:rPr>
                      <m:t>z</m:t>
                    </m:r>
                  </m:sub>
                </m:sSub>
                <m:r>
                  <w:rPr>
                    <w:rFonts w:ascii="Cambria Math" w:hAnsi="Cambria Math"/>
                  </w:rPr>
                  <m:t>)</m:t>
                </m:r>
              </m:oMath>
            </m:oMathPara>
          </w:p>
        </w:tc>
        <w:tc>
          <w:tcPr>
            <w:tcW w:w="630" w:type="dxa"/>
            <w:vAlign w:val="center"/>
          </w:tcPr>
          <w:p w14:paraId="70BDA04E" w14:textId="77777777" w:rsidR="00A4066B" w:rsidRPr="00840153" w:rsidRDefault="00A4066B">
            <w:pPr>
              <w:pStyle w:val="equation"/>
              <w:tabs>
                <w:tab w:val="clear" w:pos="6237"/>
              </w:tabs>
              <w:ind w:left="0" w:firstLine="0"/>
              <w:jc w:val="right"/>
            </w:pPr>
            <w:bookmarkStart w:id="3" w:name="_Ref202121660"/>
            <w:bookmarkStart w:id="4" w:name="_Ref204253507"/>
            <w:r w:rsidRPr="00840153">
              <w:t>(</w:t>
            </w:r>
            <w:bookmarkEnd w:id="3"/>
            <w:bookmarkEnd w:id="4"/>
            <w:r w:rsidRPr="00840153">
              <w:t>2)</w:t>
            </w:r>
          </w:p>
        </w:tc>
      </w:tr>
    </w:tbl>
    <w:p w14:paraId="7EF1AA42" w14:textId="77777777" w:rsidR="00A4066B" w:rsidRPr="00FC4AD7" w:rsidRDefault="00A4066B" w:rsidP="00FC4AD7">
      <w:r w:rsidRPr="00FC4AD7">
        <w:t>Reset gate:</w:t>
      </w:r>
    </w:p>
    <w:tbl>
      <w:tblPr>
        <w:tblW w:w="8910" w:type="dxa"/>
        <w:tblCellMar>
          <w:left w:w="0" w:type="dxa"/>
          <w:right w:w="0" w:type="dxa"/>
        </w:tblCellMar>
        <w:tblLook w:val="04A0" w:firstRow="1" w:lastRow="0" w:firstColumn="1" w:lastColumn="0" w:noHBand="0" w:noVBand="1"/>
      </w:tblPr>
      <w:tblGrid>
        <w:gridCol w:w="8032"/>
        <w:gridCol w:w="878"/>
      </w:tblGrid>
      <w:tr w:rsidR="00A4066B" w:rsidRPr="00840153" w14:paraId="10F78609" w14:textId="77777777">
        <w:tc>
          <w:tcPr>
            <w:tcW w:w="8032" w:type="dxa"/>
          </w:tcPr>
          <w:p w14:paraId="181DA967" w14:textId="42F975AF" w:rsidR="00A4066B" w:rsidRPr="005D4B4A" w:rsidRDefault="00000000">
            <w:pPr>
              <w:spacing w:before="120" w:after="120" w:line="360" w:lineRule="auto"/>
              <w:jc w:val="center"/>
              <w:rPr>
                <w:rFonts w:ascii="Palatino Linotype" w:eastAsia="Calibri" w:hAnsi="Palatino Linotype" w:cs="Calibri"/>
                <w:i/>
                <w:sz w:val="22"/>
                <w:szCs w:val="22"/>
                <w:lang w:val="en"/>
              </w:rPr>
            </w:pPr>
            <m:oMathPara>
              <m:oMath>
                <m:sSub>
                  <m:sSubPr>
                    <m:ctrlPr>
                      <w:rPr>
                        <w:rFonts w:ascii="Cambria Math" w:hAnsi="Cambria Math"/>
                        <w:i/>
                      </w:rPr>
                    </m:ctrlPr>
                  </m:sSubPr>
                  <m:e>
                    <m:r>
                      <w:rPr>
                        <w:rFonts w:ascii="Cambria Math" w:hAnsi="Cambria Math"/>
                      </w:rPr>
                      <m:t>r</m:t>
                    </m:r>
                  </m:e>
                  <m:sub>
                    <m:r>
                      <w:rPr>
                        <w:rFonts w:ascii="Cambria Math" w:hAnsi="Cambria Math"/>
                      </w:rPr>
                      <m:t>t</m:t>
                    </m:r>
                  </m:sub>
                </m:sSub>
                <m:r>
                  <w:rPr>
                    <w:rFonts w:ascii="Cambria Math" w:hAnsi="Cambria Math"/>
                  </w:rPr>
                  <m:t xml:space="preserve">=σ </m:t>
                </m:r>
                <m:d>
                  <m:dPr>
                    <m:ctrlPr>
                      <w:rPr>
                        <w:rFonts w:ascii="Cambria Math" w:hAnsi="Cambria Math"/>
                        <w:i/>
                      </w:rPr>
                    </m:ctrlPr>
                  </m:dPr>
                  <m:e>
                    <m:sSub>
                      <m:sSubPr>
                        <m:ctrlPr>
                          <w:rPr>
                            <w:rFonts w:ascii="Cambria Math" w:hAnsi="Cambria Math"/>
                            <w:i/>
                          </w:rPr>
                        </m:ctrlPr>
                      </m:sSubPr>
                      <m:e>
                        <m:r>
                          <w:rPr>
                            <w:rFonts w:ascii="Cambria Math" w:hAnsi="Cambria Math"/>
                          </w:rPr>
                          <m:t>W</m:t>
                        </m:r>
                      </m:e>
                      <m:sub>
                        <m:r>
                          <w:rPr>
                            <w:rFonts w:ascii="Cambria Math" w:hAnsi="Cambria Math"/>
                          </w:rPr>
                          <m:t>r</m:t>
                        </m:r>
                      </m:sub>
                    </m:sSub>
                    <m:sSub>
                      <m:sSubPr>
                        <m:ctrlPr>
                          <w:rPr>
                            <w:rFonts w:ascii="Cambria Math" w:hAnsi="Cambria Math"/>
                            <w:i/>
                          </w:rPr>
                        </m:ctrlPr>
                      </m:sSubPr>
                      <m:e>
                        <m:r>
                          <w:rPr>
                            <w:rFonts w:ascii="Cambria Math" w:hAnsi="Cambria Math"/>
                          </w:rPr>
                          <m:t>h</m:t>
                        </m:r>
                      </m:e>
                      <m:sub>
                        <m:r>
                          <w:rPr>
                            <w:rFonts w:ascii="Cambria Math" w:hAnsi="Cambria Math"/>
                          </w:rPr>
                          <m:t>t-1</m:t>
                        </m:r>
                      </m:sub>
                    </m:sSub>
                    <m:r>
                      <w:rPr>
                        <w:rFonts w:ascii="Cambria Math" w:hAnsi="Cambria Math"/>
                      </w:rPr>
                      <m:t>+</m:t>
                    </m:r>
                    <m:sSub>
                      <m:sSubPr>
                        <m:ctrlPr>
                          <w:rPr>
                            <w:rFonts w:ascii="Cambria Math" w:hAnsi="Cambria Math"/>
                            <w:i/>
                          </w:rPr>
                        </m:ctrlPr>
                      </m:sSubPr>
                      <m:e>
                        <m:r>
                          <w:rPr>
                            <w:rFonts w:ascii="Cambria Math" w:hAnsi="Cambria Math"/>
                          </w:rPr>
                          <m:t>U</m:t>
                        </m:r>
                      </m:e>
                      <m:sub>
                        <m:r>
                          <w:rPr>
                            <w:rFonts w:ascii="Cambria Math" w:hAnsi="Cambria Math"/>
                          </w:rPr>
                          <m:t>z</m:t>
                        </m:r>
                      </m:sub>
                    </m:sSub>
                    <m:sSub>
                      <m:sSubPr>
                        <m:ctrlPr>
                          <w:rPr>
                            <w:rFonts w:ascii="Cambria Math" w:hAnsi="Cambria Math"/>
                            <w:i/>
                          </w:rPr>
                        </m:ctrlPr>
                      </m:sSubPr>
                      <m:e>
                        <m:r>
                          <w:rPr>
                            <w:rFonts w:ascii="Cambria Math" w:hAnsi="Cambria Math"/>
                          </w:rPr>
                          <m:t>x</m:t>
                        </m:r>
                      </m:e>
                      <m:sub>
                        <m:r>
                          <w:rPr>
                            <w:rFonts w:ascii="Cambria Math" w:hAnsi="Cambria Math"/>
                          </w:rPr>
                          <m:t>t</m:t>
                        </m:r>
                      </m:sub>
                    </m:sSub>
                    <m:r>
                      <w:rPr>
                        <w:rFonts w:ascii="Cambria Math" w:hAnsi="Cambria Math"/>
                      </w:rPr>
                      <m:t>+</m:t>
                    </m:r>
                    <m:sSub>
                      <m:sSubPr>
                        <m:ctrlPr>
                          <w:rPr>
                            <w:rFonts w:ascii="Cambria Math" w:hAnsi="Cambria Math"/>
                            <w:i/>
                          </w:rPr>
                        </m:ctrlPr>
                      </m:sSubPr>
                      <m:e>
                        <m:r>
                          <w:rPr>
                            <w:rFonts w:ascii="Cambria Math" w:hAnsi="Cambria Math"/>
                          </w:rPr>
                          <m:t>b</m:t>
                        </m:r>
                      </m:e>
                      <m:sub>
                        <m:r>
                          <w:rPr>
                            <w:rFonts w:ascii="Cambria Math" w:hAnsi="Cambria Math"/>
                          </w:rPr>
                          <m:t>z</m:t>
                        </m:r>
                      </m:sub>
                    </m:sSub>
                  </m:e>
                </m:d>
              </m:oMath>
            </m:oMathPara>
          </w:p>
        </w:tc>
        <w:tc>
          <w:tcPr>
            <w:tcW w:w="878" w:type="dxa"/>
            <w:vAlign w:val="center"/>
          </w:tcPr>
          <w:p w14:paraId="44F89EF9" w14:textId="77777777" w:rsidR="00A4066B" w:rsidRPr="00840153" w:rsidRDefault="00A4066B">
            <w:pPr>
              <w:pStyle w:val="equation"/>
              <w:tabs>
                <w:tab w:val="clear" w:pos="6237"/>
              </w:tabs>
              <w:ind w:left="0" w:firstLine="0"/>
              <w:jc w:val="both"/>
            </w:pPr>
            <w:bookmarkStart w:id="5" w:name="_Ref202121675"/>
            <w:r w:rsidRPr="00840153">
              <w:t>(</w:t>
            </w:r>
            <w:bookmarkEnd w:id="5"/>
            <w:r w:rsidRPr="00840153">
              <w:t>3)</w:t>
            </w:r>
          </w:p>
        </w:tc>
      </w:tr>
    </w:tbl>
    <w:p w14:paraId="02DDB701" w14:textId="77777777" w:rsidR="00A4066B" w:rsidRPr="00FC4AD7" w:rsidRDefault="00A4066B" w:rsidP="00FC4AD7">
      <w:r w:rsidRPr="00FC4AD7">
        <w:t>Candidate hidden state:</w:t>
      </w:r>
    </w:p>
    <w:tbl>
      <w:tblPr>
        <w:tblW w:w="8910" w:type="dxa"/>
        <w:tblCellMar>
          <w:left w:w="0" w:type="dxa"/>
          <w:right w:w="0" w:type="dxa"/>
        </w:tblCellMar>
        <w:tblLook w:val="04A0" w:firstRow="1" w:lastRow="0" w:firstColumn="1" w:lastColumn="0" w:noHBand="0" w:noVBand="1"/>
      </w:tblPr>
      <w:tblGrid>
        <w:gridCol w:w="8036"/>
        <w:gridCol w:w="874"/>
      </w:tblGrid>
      <w:tr w:rsidR="00A4066B" w:rsidRPr="00840153" w14:paraId="58EC8632" w14:textId="77777777">
        <w:tc>
          <w:tcPr>
            <w:tcW w:w="8036" w:type="dxa"/>
          </w:tcPr>
          <w:p w14:paraId="0EC24987" w14:textId="3FD733FD" w:rsidR="00A4066B" w:rsidRPr="005D4B4A" w:rsidRDefault="00000000">
            <w:pPr>
              <w:spacing w:before="120" w:after="120" w:line="360" w:lineRule="auto"/>
              <w:jc w:val="center"/>
              <w:rPr>
                <w:rFonts w:ascii="Palatino Linotype" w:eastAsia="Calibri" w:hAnsi="Palatino Linotype" w:cs="Calibri"/>
                <w:sz w:val="22"/>
                <w:szCs w:val="22"/>
                <w:lang w:val="en"/>
              </w:rPr>
            </w:pPr>
            <m:oMathPara>
              <m:oMath>
                <m:sSub>
                  <m:sSubPr>
                    <m:ctrlPr>
                      <w:rPr>
                        <w:rFonts w:ascii="Cambria Math" w:hAnsi="Cambria Math"/>
                      </w:rPr>
                    </m:ctrlPr>
                  </m:sSubPr>
                  <m:e>
                    <m:acc>
                      <m:accPr>
                        <m:chr m:val="̃"/>
                        <m:ctrlPr>
                          <w:rPr>
                            <w:rFonts w:ascii="Cambria Math" w:hAnsi="Cambria Math"/>
                          </w:rPr>
                        </m:ctrlPr>
                      </m:accPr>
                      <m:e>
                        <m:r>
                          <w:rPr>
                            <w:rFonts w:ascii="Cambria Math" w:hAnsi="Cambria Math"/>
                          </w:rPr>
                          <m:t>h</m:t>
                        </m:r>
                      </m:e>
                    </m:acc>
                  </m:e>
                  <m:sub>
                    <m:r>
                      <w:rPr>
                        <w:rFonts w:ascii="Cambria Math" w:hAnsi="Cambria Math"/>
                      </w:rPr>
                      <m:t>t</m:t>
                    </m:r>
                  </m:sub>
                </m:sSub>
                <m:r>
                  <m:rPr>
                    <m:sty m:val="p"/>
                  </m:rPr>
                  <w:rPr>
                    <w:rFonts w:ascii="Cambria Math" w:hAnsi="Cambria Math"/>
                  </w:rPr>
                  <m:t>=</m:t>
                </m:r>
                <m:r>
                  <w:rPr>
                    <w:rFonts w:ascii="Cambria Math" w:hAnsi="Cambria Math"/>
                  </w:rPr>
                  <m:t>tanh</m:t>
                </m:r>
                <m:r>
                  <m:rPr>
                    <m:sty m:val="p"/>
                  </m:rPr>
                  <w:rPr>
                    <w:rFonts w:ascii="Cambria Math" w:hAnsi="Cambria Math"/>
                  </w:rPr>
                  <m:t xml:space="preserve"> (</m:t>
                </m:r>
                <m:sSub>
                  <m:sSubPr>
                    <m:ctrlPr>
                      <w:rPr>
                        <w:rFonts w:ascii="Cambria Math" w:hAnsi="Cambria Math"/>
                      </w:rPr>
                    </m:ctrlPr>
                  </m:sSubPr>
                  <m:e>
                    <m:r>
                      <w:rPr>
                        <w:rFonts w:ascii="Cambria Math" w:hAnsi="Cambria Math"/>
                      </w:rPr>
                      <m:t>W</m:t>
                    </m:r>
                  </m:e>
                  <m:sub>
                    <m:r>
                      <w:rPr>
                        <w:rFonts w:ascii="Cambria Math" w:hAnsi="Cambria Math"/>
                      </w:rPr>
                      <m:t>h</m:t>
                    </m:r>
                  </m:sub>
                </m:sSub>
                <m:r>
                  <m:rPr>
                    <m:sty m:val="p"/>
                  </m:rPr>
                  <w:rPr>
                    <w:rFonts w:ascii="Cambria Math" w:hAnsi="Cambria Math"/>
                  </w:rPr>
                  <m:t>(</m:t>
                </m:r>
                <m:sSub>
                  <m:sSubPr>
                    <m:ctrlPr>
                      <w:rPr>
                        <w:rFonts w:ascii="Cambria Math" w:hAnsi="Cambria Math"/>
                      </w:rPr>
                    </m:ctrlPr>
                  </m:sSubPr>
                  <m:e>
                    <m:r>
                      <w:rPr>
                        <w:rFonts w:ascii="Cambria Math" w:hAnsi="Cambria Math"/>
                      </w:rPr>
                      <m:t>h</m:t>
                    </m:r>
                  </m:e>
                  <m:sub>
                    <m:r>
                      <w:rPr>
                        <w:rFonts w:ascii="Cambria Math" w:hAnsi="Cambria Math"/>
                      </w:rPr>
                      <m:t>t</m:t>
                    </m:r>
                    <m:r>
                      <m:rPr>
                        <m:sty m:val="p"/>
                      </m:rPr>
                      <w:rPr>
                        <w:rFonts w:ascii="Cambria Math" w:hAnsi="Cambria Math"/>
                      </w:rPr>
                      <m:t>-1</m:t>
                    </m:r>
                  </m:sub>
                </m:sSub>
                <m:r>
                  <m:rPr>
                    <m:sty m:val="p"/>
                  </m:rPr>
                  <w:rPr>
                    <w:rFonts w:ascii="Cambria Math" w:hAnsi="Cambria Math"/>
                  </w:rPr>
                  <m:t xml:space="preserve">⨀ </m:t>
                </m:r>
                <m:sSub>
                  <m:sSubPr>
                    <m:ctrlPr>
                      <w:rPr>
                        <w:rFonts w:ascii="Cambria Math" w:hAnsi="Cambria Math"/>
                      </w:rPr>
                    </m:ctrlPr>
                  </m:sSubPr>
                  <m:e>
                    <m:r>
                      <w:rPr>
                        <w:rFonts w:ascii="Cambria Math" w:hAnsi="Cambria Math"/>
                      </w:rPr>
                      <m:t>r</m:t>
                    </m:r>
                  </m:e>
                  <m:sub>
                    <m:r>
                      <w:rPr>
                        <w:rFonts w:ascii="Cambria Math" w:hAnsi="Cambria Math"/>
                      </w:rPr>
                      <m:t>t</m:t>
                    </m:r>
                  </m:sub>
                </m:sSub>
                <m:r>
                  <m:rPr>
                    <m:sty m:val="p"/>
                  </m:rPr>
                  <w:rPr>
                    <w:rFonts w:ascii="Cambria Math" w:hAnsi="Cambria Math"/>
                  </w:rPr>
                  <m:t>+</m:t>
                </m:r>
                <m:sSub>
                  <m:sSubPr>
                    <m:ctrlPr>
                      <w:rPr>
                        <w:rFonts w:ascii="Cambria Math" w:hAnsi="Cambria Math"/>
                      </w:rPr>
                    </m:ctrlPr>
                  </m:sSubPr>
                  <m:e>
                    <m:r>
                      <w:rPr>
                        <w:rFonts w:ascii="Cambria Math" w:hAnsi="Cambria Math"/>
                      </w:rPr>
                      <m:t>U</m:t>
                    </m:r>
                  </m:e>
                  <m:sub>
                    <m:r>
                      <w:rPr>
                        <w:rFonts w:ascii="Cambria Math" w:hAnsi="Cambria Math"/>
                      </w:rPr>
                      <m:t>h</m:t>
                    </m:r>
                  </m:sub>
                </m:sSub>
                <m:sSub>
                  <m:sSubPr>
                    <m:ctrlPr>
                      <w:rPr>
                        <w:rFonts w:ascii="Cambria Math" w:hAnsi="Cambria Math"/>
                      </w:rPr>
                    </m:ctrlPr>
                  </m:sSubPr>
                  <m:e>
                    <m:r>
                      <w:rPr>
                        <w:rFonts w:ascii="Cambria Math" w:hAnsi="Cambria Math"/>
                      </w:rPr>
                      <m:t>x</m:t>
                    </m:r>
                  </m:e>
                  <m:sub>
                    <m:r>
                      <w:rPr>
                        <w:rFonts w:ascii="Cambria Math" w:hAnsi="Cambria Math"/>
                      </w:rPr>
                      <m:t>t</m:t>
                    </m:r>
                  </m:sub>
                </m:sSub>
                <m:r>
                  <m:rPr>
                    <m:sty m:val="p"/>
                  </m:rPr>
                  <w:rPr>
                    <w:rFonts w:ascii="Cambria Math" w:hAnsi="Cambria Math"/>
                  </w:rPr>
                  <m:t>+</m:t>
                </m:r>
                <m:sSub>
                  <m:sSubPr>
                    <m:ctrlPr>
                      <w:rPr>
                        <w:rFonts w:ascii="Cambria Math" w:hAnsi="Cambria Math"/>
                      </w:rPr>
                    </m:ctrlPr>
                  </m:sSubPr>
                  <m:e>
                    <m:r>
                      <w:rPr>
                        <w:rFonts w:ascii="Cambria Math" w:hAnsi="Cambria Math"/>
                      </w:rPr>
                      <m:t>b</m:t>
                    </m:r>
                  </m:e>
                  <m:sub>
                    <m:r>
                      <w:rPr>
                        <w:rFonts w:ascii="Cambria Math" w:hAnsi="Cambria Math"/>
                      </w:rPr>
                      <m:t>h</m:t>
                    </m:r>
                  </m:sub>
                </m:sSub>
                <m:r>
                  <m:rPr>
                    <m:sty m:val="p"/>
                  </m:rPr>
                  <w:rPr>
                    <w:rFonts w:ascii="Cambria Math" w:hAnsi="Cambria Math"/>
                  </w:rPr>
                  <m:t>)</m:t>
                </m:r>
              </m:oMath>
            </m:oMathPara>
          </w:p>
        </w:tc>
        <w:tc>
          <w:tcPr>
            <w:tcW w:w="874" w:type="dxa"/>
            <w:vAlign w:val="center"/>
          </w:tcPr>
          <w:p w14:paraId="4E8B814F" w14:textId="77777777" w:rsidR="00A4066B" w:rsidRPr="00840153" w:rsidRDefault="00A4066B">
            <w:pPr>
              <w:pStyle w:val="equation"/>
              <w:tabs>
                <w:tab w:val="clear" w:pos="6237"/>
              </w:tabs>
              <w:ind w:left="0" w:firstLine="0"/>
              <w:jc w:val="both"/>
            </w:pPr>
            <w:r w:rsidRPr="00840153">
              <w:t xml:space="preserve"> </w:t>
            </w:r>
            <w:bookmarkStart w:id="6" w:name="_Ref202121690"/>
            <w:r w:rsidRPr="00840153">
              <w:t>(</w:t>
            </w:r>
            <w:bookmarkEnd w:id="6"/>
            <w:r w:rsidRPr="00840153">
              <w:t>4)</w:t>
            </w:r>
          </w:p>
        </w:tc>
      </w:tr>
    </w:tbl>
    <w:p w14:paraId="04E5057C" w14:textId="77777777" w:rsidR="00A4066B" w:rsidRPr="00FC4AD7" w:rsidRDefault="00A4066B" w:rsidP="00FC4AD7">
      <w:r w:rsidRPr="00FC4AD7">
        <w:t>Hidden state update:</w:t>
      </w:r>
    </w:p>
    <w:tbl>
      <w:tblPr>
        <w:tblW w:w="8910" w:type="dxa"/>
        <w:tblCellMar>
          <w:left w:w="0" w:type="dxa"/>
          <w:right w:w="0" w:type="dxa"/>
        </w:tblCellMar>
        <w:tblLook w:val="04A0" w:firstRow="1" w:lastRow="0" w:firstColumn="1" w:lastColumn="0" w:noHBand="0" w:noVBand="1"/>
      </w:tblPr>
      <w:tblGrid>
        <w:gridCol w:w="8032"/>
        <w:gridCol w:w="878"/>
      </w:tblGrid>
      <w:tr w:rsidR="00A4066B" w:rsidRPr="00CE41AD" w14:paraId="4313F033" w14:textId="77777777">
        <w:tc>
          <w:tcPr>
            <w:tcW w:w="8032" w:type="dxa"/>
          </w:tcPr>
          <w:p w14:paraId="611006F0" w14:textId="6F3B144C" w:rsidR="00A4066B" w:rsidRPr="005D4B4A" w:rsidRDefault="00000000">
            <w:pPr>
              <w:spacing w:before="120" w:after="120" w:line="360" w:lineRule="auto"/>
              <w:jc w:val="center"/>
              <w:rPr>
                <w:rFonts w:ascii="Palatino Linotype" w:eastAsia="Calibri" w:hAnsi="Palatino Linotype" w:cs="Calibri"/>
                <w:sz w:val="22"/>
                <w:szCs w:val="22"/>
                <w:lang w:val="en"/>
              </w:rPr>
            </w:pPr>
            <m:oMathPara>
              <m:oMath>
                <m:sSub>
                  <m:sSubPr>
                    <m:ctrlPr>
                      <w:rPr>
                        <w:rFonts w:ascii="Cambria Math" w:hAnsi="Cambria Math"/>
                      </w:rPr>
                    </m:ctrlPr>
                  </m:sSubPr>
                  <m:e>
                    <m:r>
                      <w:rPr>
                        <w:rFonts w:ascii="Cambria Math" w:hAnsi="Cambria Math"/>
                      </w:rPr>
                      <m:t>h</m:t>
                    </m:r>
                  </m:e>
                  <m:sub>
                    <m:r>
                      <w:rPr>
                        <w:rFonts w:ascii="Cambria Math" w:hAnsi="Cambria Math"/>
                      </w:rPr>
                      <m:t>t</m:t>
                    </m:r>
                  </m:sub>
                </m:sSub>
                <m:r>
                  <m:rPr>
                    <m:sty m:val="p"/>
                  </m:rPr>
                  <w:rPr>
                    <w:rFonts w:ascii="Cambria Math" w:hAnsi="Cambria Math"/>
                  </w:rPr>
                  <m:t>=</m:t>
                </m:r>
                <m:sSub>
                  <m:sSubPr>
                    <m:ctrlPr>
                      <w:rPr>
                        <w:rFonts w:ascii="Cambria Math" w:hAnsi="Cambria Math"/>
                      </w:rPr>
                    </m:ctrlPr>
                  </m:sSubPr>
                  <m:e>
                    <m:r>
                      <w:rPr>
                        <w:rFonts w:ascii="Cambria Math" w:hAnsi="Cambria Math"/>
                      </w:rPr>
                      <m:t>z</m:t>
                    </m:r>
                  </m:e>
                  <m:sub>
                    <m:r>
                      <w:rPr>
                        <w:rFonts w:ascii="Cambria Math" w:hAnsi="Cambria Math"/>
                      </w:rPr>
                      <m:t>t</m:t>
                    </m:r>
                  </m:sub>
                </m:sSub>
                <m:r>
                  <m:rPr>
                    <m:sty m:val="p"/>
                  </m:rPr>
                  <w:rPr>
                    <w:rFonts w:ascii="Cambria Math" w:hAnsi="Cambria Math"/>
                  </w:rPr>
                  <m:t xml:space="preserve"> ⨀ </m:t>
                </m:r>
                <m:sSub>
                  <m:sSubPr>
                    <m:ctrlPr>
                      <w:rPr>
                        <w:rFonts w:ascii="Cambria Math" w:hAnsi="Cambria Math"/>
                      </w:rPr>
                    </m:ctrlPr>
                  </m:sSubPr>
                  <m:e>
                    <m:acc>
                      <m:accPr>
                        <m:chr m:val="̃"/>
                        <m:ctrlPr>
                          <w:rPr>
                            <w:rFonts w:ascii="Cambria Math" w:hAnsi="Cambria Math"/>
                          </w:rPr>
                        </m:ctrlPr>
                      </m:accPr>
                      <m:e>
                        <m:r>
                          <w:rPr>
                            <w:rFonts w:ascii="Cambria Math" w:hAnsi="Cambria Math"/>
                          </w:rPr>
                          <m:t>h</m:t>
                        </m:r>
                      </m:e>
                    </m:acc>
                  </m:e>
                  <m:sub>
                    <m:r>
                      <w:rPr>
                        <w:rFonts w:ascii="Cambria Math" w:hAnsi="Cambria Math"/>
                      </w:rPr>
                      <m:t>t</m:t>
                    </m:r>
                  </m:sub>
                </m:sSub>
                <m:r>
                  <m:rPr>
                    <m:sty m:val="p"/>
                  </m:rPr>
                  <w:rPr>
                    <w:rFonts w:ascii="Cambria Math" w:hAnsi="Cambria Math"/>
                  </w:rPr>
                  <m:t>+</m:t>
                </m:r>
                <m:d>
                  <m:dPr>
                    <m:ctrlPr>
                      <w:rPr>
                        <w:rFonts w:ascii="Cambria Math" w:hAnsi="Cambria Math"/>
                      </w:rPr>
                    </m:ctrlPr>
                  </m:dPr>
                  <m:e>
                    <m:r>
                      <m:rPr>
                        <m:sty m:val="p"/>
                      </m:rPr>
                      <w:rPr>
                        <w:rFonts w:ascii="Cambria Math" w:hAnsi="Cambria Math"/>
                      </w:rPr>
                      <m:t>1-</m:t>
                    </m:r>
                    <m:sSub>
                      <m:sSubPr>
                        <m:ctrlPr>
                          <w:rPr>
                            <w:rFonts w:ascii="Cambria Math" w:hAnsi="Cambria Math"/>
                          </w:rPr>
                        </m:ctrlPr>
                      </m:sSubPr>
                      <m:e>
                        <m:r>
                          <w:rPr>
                            <w:rFonts w:ascii="Cambria Math" w:hAnsi="Cambria Math"/>
                          </w:rPr>
                          <m:t>z</m:t>
                        </m:r>
                      </m:e>
                      <m:sub>
                        <m:r>
                          <w:rPr>
                            <w:rFonts w:ascii="Cambria Math" w:hAnsi="Cambria Math"/>
                          </w:rPr>
                          <m:t>t</m:t>
                        </m:r>
                      </m:sub>
                    </m:sSub>
                  </m:e>
                </m:d>
                <m:r>
                  <m:rPr>
                    <m:sty m:val="p"/>
                  </m:rPr>
                  <w:rPr>
                    <w:rFonts w:ascii="Cambria Math" w:hAnsi="Cambria Math"/>
                  </w:rPr>
                  <m:t xml:space="preserve"> ⨀</m:t>
                </m:r>
                <m:sSub>
                  <m:sSubPr>
                    <m:ctrlPr>
                      <w:rPr>
                        <w:rFonts w:ascii="Cambria Math" w:hAnsi="Cambria Math"/>
                      </w:rPr>
                    </m:ctrlPr>
                  </m:sSubPr>
                  <m:e>
                    <m:r>
                      <m:rPr>
                        <m:sty m:val="p"/>
                      </m:rPr>
                      <w:rPr>
                        <w:rFonts w:ascii="Cambria Math" w:hAnsi="Cambria Math"/>
                      </w:rPr>
                      <m:t xml:space="preserve"> </m:t>
                    </m:r>
                    <m:r>
                      <w:rPr>
                        <w:rFonts w:ascii="Cambria Math" w:hAnsi="Cambria Math"/>
                      </w:rPr>
                      <m:t>h</m:t>
                    </m:r>
                  </m:e>
                  <m:sub>
                    <m:r>
                      <w:rPr>
                        <w:rFonts w:ascii="Cambria Math" w:hAnsi="Cambria Math"/>
                      </w:rPr>
                      <m:t>t</m:t>
                    </m:r>
                    <m:r>
                      <m:rPr>
                        <m:sty m:val="p"/>
                      </m:rPr>
                      <w:rPr>
                        <w:rFonts w:ascii="Cambria Math" w:hAnsi="Cambria Math"/>
                      </w:rPr>
                      <m:t>-1</m:t>
                    </m:r>
                  </m:sub>
                </m:sSub>
                <m:r>
                  <m:rPr>
                    <m:sty m:val="p"/>
                  </m:rPr>
                  <w:rPr>
                    <w:rFonts w:ascii="Cambria Math" w:hAnsi="Cambria Math"/>
                  </w:rPr>
                  <m:t>)</m:t>
                </m:r>
              </m:oMath>
            </m:oMathPara>
          </w:p>
        </w:tc>
        <w:tc>
          <w:tcPr>
            <w:tcW w:w="878" w:type="dxa"/>
            <w:vAlign w:val="center"/>
          </w:tcPr>
          <w:p w14:paraId="3EE71B6D" w14:textId="77777777" w:rsidR="00A4066B" w:rsidRPr="00840153" w:rsidRDefault="00A4066B">
            <w:pPr>
              <w:pStyle w:val="equation"/>
              <w:tabs>
                <w:tab w:val="clear" w:pos="6237"/>
              </w:tabs>
              <w:ind w:left="0" w:firstLine="0"/>
              <w:jc w:val="both"/>
            </w:pPr>
            <w:r w:rsidRPr="00840153">
              <w:t xml:space="preserve"> </w:t>
            </w:r>
            <w:bookmarkStart w:id="7" w:name="_Ref202121709"/>
            <w:r w:rsidRPr="00840153">
              <w:t>(</w:t>
            </w:r>
            <w:bookmarkEnd w:id="7"/>
            <w:r w:rsidRPr="00840153">
              <w:t>5)</w:t>
            </w:r>
          </w:p>
        </w:tc>
      </w:tr>
    </w:tbl>
    <w:p w14:paraId="6EF2B8EE" w14:textId="77777777" w:rsidR="00A4066B" w:rsidRPr="00FC4AD7" w:rsidRDefault="00A4066B" w:rsidP="00FC4AD7">
      <w:r w:rsidRPr="00FC4AD7">
        <w:t>where:</w:t>
      </w:r>
    </w:p>
    <w:p w14:paraId="70AD6B95" w14:textId="281A7419" w:rsidR="00A4066B" w:rsidRPr="00FC4AD7" w:rsidRDefault="00000000" w:rsidP="00FC4AD7">
      <w:pPr>
        <w:numPr>
          <w:ilvl w:val="0"/>
          <w:numId w:val="9"/>
        </w:numPr>
      </w:pPr>
      <m:oMath>
        <m:sSub>
          <m:sSubPr>
            <m:ctrlPr>
              <w:rPr>
                <w:rFonts w:ascii="Cambria Math" w:hAnsi="Cambria Math"/>
                <w:i/>
              </w:rPr>
            </m:ctrlPr>
          </m:sSubPr>
          <m:e>
            <m:r>
              <w:rPr>
                <w:rFonts w:ascii="Cambria Math" w:hAnsi="Cambria Math"/>
              </w:rPr>
              <m:t>x</m:t>
            </m:r>
          </m:e>
          <m:sub>
            <m:r>
              <w:rPr>
                <w:rFonts w:ascii="Cambria Math" w:hAnsi="Cambria Math"/>
              </w:rPr>
              <m:t>t</m:t>
            </m:r>
          </m:sub>
        </m:sSub>
      </m:oMath>
      <w:r w:rsidR="00A4066B" w:rsidRPr="00FC4AD7">
        <w:t>: input vector (e.g., Bitcoin open, high, low, volume) at time t,</w:t>
      </w:r>
    </w:p>
    <w:p w14:paraId="48052D56" w14:textId="5A43B67B" w:rsidR="00A4066B" w:rsidRPr="00FC4AD7" w:rsidRDefault="00000000" w:rsidP="00FC4AD7">
      <w:pPr>
        <w:numPr>
          <w:ilvl w:val="0"/>
          <w:numId w:val="9"/>
        </w:numPr>
      </w:pPr>
      <m:oMath>
        <m:sSub>
          <m:sSubPr>
            <m:ctrlPr>
              <w:rPr>
                <w:rFonts w:ascii="Cambria Math" w:hAnsi="Cambria Math"/>
                <w:i/>
              </w:rPr>
            </m:ctrlPr>
          </m:sSubPr>
          <m:e>
            <m:r>
              <w:rPr>
                <w:rFonts w:ascii="Cambria Math" w:hAnsi="Cambria Math"/>
              </w:rPr>
              <m:t xml:space="preserve"> h</m:t>
            </m:r>
          </m:e>
          <m:sub>
            <m:r>
              <w:rPr>
                <w:rFonts w:ascii="Cambria Math" w:hAnsi="Cambria Math"/>
              </w:rPr>
              <m:t>t-1</m:t>
            </m:r>
          </m:sub>
        </m:sSub>
      </m:oMath>
      <w:r w:rsidR="00A4066B" w:rsidRPr="00FC4AD7">
        <w:t xml:space="preserve">, </w:t>
      </w:r>
      <m:oMath>
        <m:sSub>
          <m:sSubPr>
            <m:ctrlPr>
              <w:rPr>
                <w:rFonts w:ascii="Cambria Math" w:hAnsi="Cambria Math"/>
                <w:i/>
              </w:rPr>
            </m:ctrlPr>
          </m:sSubPr>
          <m:e>
            <m:r>
              <w:rPr>
                <w:rFonts w:ascii="Cambria Math" w:hAnsi="Cambria Math"/>
              </w:rPr>
              <m:t>h</m:t>
            </m:r>
          </m:e>
          <m:sub>
            <m:r>
              <w:rPr>
                <w:rFonts w:ascii="Cambria Math" w:hAnsi="Cambria Math"/>
              </w:rPr>
              <m:t>t</m:t>
            </m:r>
          </m:sub>
        </m:sSub>
      </m:oMath>
      <w:r w:rsidR="00A4066B" w:rsidRPr="00FC4AD7">
        <w:t>: previous and new hidden states,</w:t>
      </w:r>
    </w:p>
    <w:p w14:paraId="09A91FFA" w14:textId="2A5004C8" w:rsidR="00A4066B" w:rsidRPr="00FC4AD7" w:rsidRDefault="00000000" w:rsidP="00FC4AD7">
      <w:pPr>
        <w:numPr>
          <w:ilvl w:val="0"/>
          <w:numId w:val="9"/>
        </w:numPr>
      </w:pPr>
      <m:oMath>
        <m:sSub>
          <m:sSubPr>
            <m:ctrlPr>
              <w:rPr>
                <w:rFonts w:ascii="Cambria Math" w:hAnsi="Cambria Math"/>
                <w:i/>
              </w:rPr>
            </m:ctrlPr>
          </m:sSubPr>
          <m:e>
            <m:acc>
              <m:accPr>
                <m:chr m:val="̃"/>
                <m:ctrlPr>
                  <w:rPr>
                    <w:rFonts w:ascii="Cambria Math" w:hAnsi="Cambria Math"/>
                    <w:i/>
                  </w:rPr>
                </m:ctrlPr>
              </m:accPr>
              <m:e>
                <m:r>
                  <w:rPr>
                    <w:rFonts w:ascii="Cambria Math" w:hAnsi="Cambria Math"/>
                  </w:rPr>
                  <m:t>h</m:t>
                </m:r>
              </m:e>
            </m:acc>
          </m:e>
          <m:sub>
            <m:r>
              <w:rPr>
                <w:rFonts w:ascii="Cambria Math" w:hAnsi="Cambria Math"/>
              </w:rPr>
              <m:t>t</m:t>
            </m:r>
          </m:sub>
        </m:sSub>
      </m:oMath>
      <w:r w:rsidR="00A4066B" w:rsidRPr="00FC4AD7">
        <w:t>: candidate hidden state,</w:t>
      </w:r>
    </w:p>
    <w:p w14:paraId="383C643B" w14:textId="7A2D4D0F" w:rsidR="00A4066B" w:rsidRPr="00FC4AD7" w:rsidRDefault="00000000" w:rsidP="00FC4AD7">
      <w:pPr>
        <w:numPr>
          <w:ilvl w:val="0"/>
          <w:numId w:val="9"/>
        </w:numPr>
      </w:pPr>
      <m:oMath>
        <m:sSub>
          <m:sSubPr>
            <m:ctrlPr>
              <w:rPr>
                <w:rFonts w:ascii="Cambria Math" w:hAnsi="Cambria Math"/>
                <w:i/>
              </w:rPr>
            </m:ctrlPr>
          </m:sSubPr>
          <m:e>
            <m:r>
              <w:rPr>
                <w:rFonts w:ascii="Cambria Math" w:hAnsi="Cambria Math"/>
              </w:rPr>
              <m:t>z</m:t>
            </m:r>
          </m:e>
          <m:sub>
            <m:r>
              <w:rPr>
                <w:rFonts w:ascii="Cambria Math" w:hAnsi="Cambria Math"/>
              </w:rPr>
              <m:t>t</m:t>
            </m:r>
          </m:sub>
        </m:sSub>
      </m:oMath>
      <w:r w:rsidR="00A4066B" w:rsidRPr="00FC4AD7">
        <w:t xml:space="preserve">, </w:t>
      </w:r>
      <m:oMath>
        <m:sSub>
          <m:sSubPr>
            <m:ctrlPr>
              <w:rPr>
                <w:rFonts w:ascii="Cambria Math" w:hAnsi="Cambria Math"/>
                <w:i/>
              </w:rPr>
            </m:ctrlPr>
          </m:sSubPr>
          <m:e>
            <m:r>
              <w:rPr>
                <w:rFonts w:ascii="Cambria Math" w:hAnsi="Cambria Math"/>
              </w:rPr>
              <m:t>r</m:t>
            </m:r>
          </m:e>
          <m:sub>
            <m:r>
              <w:rPr>
                <w:rFonts w:ascii="Cambria Math" w:hAnsi="Cambria Math"/>
              </w:rPr>
              <m:t>t</m:t>
            </m:r>
          </m:sub>
        </m:sSub>
        <m:r>
          <w:rPr>
            <w:rFonts w:ascii="Cambria Math" w:hAnsi="Cambria Math"/>
          </w:rPr>
          <m:t xml:space="preserve">: </m:t>
        </m:r>
      </m:oMath>
      <w:r w:rsidR="00A4066B" w:rsidRPr="00FC4AD7">
        <w:t>update and reset gate activations,</w:t>
      </w:r>
    </w:p>
    <w:p w14:paraId="7FDDFDED" w14:textId="781A0A08" w:rsidR="00A4066B" w:rsidRPr="00FC4AD7" w:rsidRDefault="00000000" w:rsidP="00FC4AD7">
      <w:pPr>
        <w:numPr>
          <w:ilvl w:val="0"/>
          <w:numId w:val="9"/>
        </w:numPr>
      </w:pPr>
      <m:oMath>
        <m:sSub>
          <m:sSubPr>
            <m:ctrlPr>
              <w:rPr>
                <w:rFonts w:ascii="Cambria Math" w:hAnsi="Cambria Math"/>
                <w:i/>
              </w:rPr>
            </m:ctrlPr>
          </m:sSubPr>
          <m:e>
            <m:r>
              <w:rPr>
                <w:rFonts w:ascii="Cambria Math" w:hAnsi="Cambria Math"/>
              </w:rPr>
              <m:t>W</m:t>
            </m:r>
          </m:e>
          <m:sub>
            <m:r>
              <w:rPr>
                <w:rFonts w:ascii="Cambria Math" w:hAnsi="Cambria Math"/>
              </w:rPr>
              <m:t>z</m:t>
            </m:r>
          </m:sub>
        </m:sSub>
      </m:oMath>
      <w:r w:rsidR="00A4066B" w:rsidRPr="00FC4AD7">
        <w:t xml:space="preserve">, </w:t>
      </w:r>
      <m:oMath>
        <m:sSub>
          <m:sSubPr>
            <m:ctrlPr>
              <w:rPr>
                <w:rFonts w:ascii="Cambria Math" w:hAnsi="Cambria Math"/>
                <w:i/>
              </w:rPr>
            </m:ctrlPr>
          </m:sSubPr>
          <m:e>
            <m:r>
              <w:rPr>
                <w:rFonts w:ascii="Cambria Math" w:hAnsi="Cambria Math"/>
              </w:rPr>
              <m:t>W</m:t>
            </m:r>
          </m:e>
          <m:sub>
            <m:r>
              <w:rPr>
                <w:rFonts w:ascii="Cambria Math" w:hAnsi="Cambria Math"/>
              </w:rPr>
              <m:t>r</m:t>
            </m:r>
          </m:sub>
        </m:sSub>
      </m:oMath>
      <w:r w:rsidR="00A4066B" w:rsidRPr="00FC4AD7">
        <w:t xml:space="preserve">, </w:t>
      </w:r>
      <m:oMath>
        <m:sSub>
          <m:sSubPr>
            <m:ctrlPr>
              <w:rPr>
                <w:rFonts w:ascii="Cambria Math" w:hAnsi="Cambria Math"/>
                <w:i/>
              </w:rPr>
            </m:ctrlPr>
          </m:sSubPr>
          <m:e>
            <m:r>
              <w:rPr>
                <w:rFonts w:ascii="Cambria Math" w:hAnsi="Cambria Math"/>
              </w:rPr>
              <m:t>W</m:t>
            </m:r>
          </m:e>
          <m:sub>
            <m:r>
              <w:rPr>
                <w:rFonts w:ascii="Cambria Math" w:hAnsi="Cambria Math"/>
              </w:rPr>
              <m:t>h</m:t>
            </m:r>
          </m:sub>
        </m:sSub>
      </m:oMath>
      <w:r w:rsidR="00A4066B" w:rsidRPr="00FC4AD7">
        <w:t xml:space="preserve">, </w:t>
      </w:r>
      <m:oMath>
        <m:sSub>
          <m:sSubPr>
            <m:ctrlPr>
              <w:rPr>
                <w:rFonts w:ascii="Cambria Math" w:hAnsi="Cambria Math"/>
                <w:i/>
              </w:rPr>
            </m:ctrlPr>
          </m:sSubPr>
          <m:e>
            <m:r>
              <w:rPr>
                <w:rFonts w:ascii="Cambria Math" w:hAnsi="Cambria Math"/>
              </w:rPr>
              <m:t>U</m:t>
            </m:r>
          </m:e>
          <m:sub>
            <m:r>
              <w:rPr>
                <w:rFonts w:ascii="Cambria Math" w:hAnsi="Cambria Math"/>
              </w:rPr>
              <m:t>z</m:t>
            </m:r>
          </m:sub>
        </m:sSub>
      </m:oMath>
      <w:r w:rsidR="00A4066B" w:rsidRPr="00FC4AD7">
        <w:t xml:space="preserve">, </w:t>
      </w:r>
      <m:oMath>
        <m:sSub>
          <m:sSubPr>
            <m:ctrlPr>
              <w:rPr>
                <w:rFonts w:ascii="Cambria Math" w:hAnsi="Cambria Math"/>
                <w:i/>
              </w:rPr>
            </m:ctrlPr>
          </m:sSubPr>
          <m:e>
            <m:r>
              <w:rPr>
                <w:rFonts w:ascii="Cambria Math" w:hAnsi="Cambria Math"/>
              </w:rPr>
              <m:t>U</m:t>
            </m:r>
          </m:e>
          <m:sub>
            <m:r>
              <w:rPr>
                <w:rFonts w:ascii="Cambria Math" w:hAnsi="Cambria Math"/>
              </w:rPr>
              <m:t>r</m:t>
            </m:r>
          </m:sub>
        </m:sSub>
      </m:oMath>
      <w:r w:rsidR="00A4066B" w:rsidRPr="00FC4AD7">
        <w:t xml:space="preserve">, </w:t>
      </w:r>
      <m:oMath>
        <m:sSub>
          <m:sSubPr>
            <m:ctrlPr>
              <w:rPr>
                <w:rFonts w:ascii="Cambria Math" w:hAnsi="Cambria Math"/>
                <w:i/>
              </w:rPr>
            </m:ctrlPr>
          </m:sSubPr>
          <m:e>
            <m:r>
              <w:rPr>
                <w:rFonts w:ascii="Cambria Math" w:hAnsi="Cambria Math"/>
              </w:rPr>
              <m:t>U</m:t>
            </m:r>
          </m:e>
          <m:sub>
            <m:r>
              <w:rPr>
                <w:rFonts w:ascii="Cambria Math" w:hAnsi="Cambria Math"/>
              </w:rPr>
              <m:t>h</m:t>
            </m:r>
          </m:sub>
        </m:sSub>
      </m:oMath>
      <w:r w:rsidR="00A4066B" w:rsidRPr="00FC4AD7">
        <w:t>: weight matrices,</w:t>
      </w:r>
    </w:p>
    <w:p w14:paraId="02636CC8" w14:textId="45B8B8F0" w:rsidR="00A4066B" w:rsidRPr="00FC4AD7" w:rsidRDefault="00000000" w:rsidP="00FC4AD7">
      <w:pPr>
        <w:numPr>
          <w:ilvl w:val="0"/>
          <w:numId w:val="9"/>
        </w:numPr>
      </w:pPr>
      <m:oMath>
        <m:sSub>
          <m:sSubPr>
            <m:ctrlPr>
              <w:rPr>
                <w:rFonts w:ascii="Cambria Math" w:hAnsi="Cambria Math"/>
                <w:i/>
              </w:rPr>
            </m:ctrlPr>
          </m:sSubPr>
          <m:e>
            <m:r>
              <w:rPr>
                <w:rFonts w:ascii="Cambria Math" w:hAnsi="Cambria Math"/>
              </w:rPr>
              <m:t>b</m:t>
            </m:r>
          </m:e>
          <m:sub>
            <m:r>
              <w:rPr>
                <w:rFonts w:ascii="Cambria Math" w:hAnsi="Cambria Math"/>
              </w:rPr>
              <m:t>z</m:t>
            </m:r>
          </m:sub>
        </m:sSub>
      </m:oMath>
      <w:r w:rsidR="00A4066B" w:rsidRPr="00FC4AD7">
        <w:t xml:space="preserve">, </w:t>
      </w:r>
      <m:oMath>
        <m:sSub>
          <m:sSubPr>
            <m:ctrlPr>
              <w:rPr>
                <w:rFonts w:ascii="Cambria Math" w:hAnsi="Cambria Math"/>
                <w:i/>
              </w:rPr>
            </m:ctrlPr>
          </m:sSubPr>
          <m:e>
            <m:r>
              <w:rPr>
                <w:rFonts w:ascii="Cambria Math" w:hAnsi="Cambria Math"/>
              </w:rPr>
              <m:t>b</m:t>
            </m:r>
          </m:e>
          <m:sub>
            <m:r>
              <w:rPr>
                <w:rFonts w:ascii="Cambria Math" w:hAnsi="Cambria Math"/>
              </w:rPr>
              <m:t>r</m:t>
            </m:r>
          </m:sub>
        </m:sSub>
      </m:oMath>
      <w:r w:rsidR="00A4066B" w:rsidRPr="00FC4AD7">
        <w:t xml:space="preserve">, </w:t>
      </w:r>
      <m:oMath>
        <m:sSub>
          <m:sSubPr>
            <m:ctrlPr>
              <w:rPr>
                <w:rFonts w:ascii="Cambria Math" w:hAnsi="Cambria Math"/>
                <w:i/>
              </w:rPr>
            </m:ctrlPr>
          </m:sSubPr>
          <m:e>
            <m:r>
              <w:rPr>
                <w:rFonts w:ascii="Cambria Math" w:hAnsi="Cambria Math"/>
              </w:rPr>
              <m:t>b</m:t>
            </m:r>
          </m:e>
          <m:sub>
            <m:r>
              <w:rPr>
                <w:rFonts w:ascii="Cambria Math" w:hAnsi="Cambria Math"/>
              </w:rPr>
              <m:t>h</m:t>
            </m:r>
          </m:sub>
        </m:sSub>
      </m:oMath>
      <w:r w:rsidR="00A4066B" w:rsidRPr="00FC4AD7">
        <w:t>: bias vectors,</w:t>
      </w:r>
    </w:p>
    <w:p w14:paraId="3B50D58D" w14:textId="77777777" w:rsidR="00A4066B" w:rsidRPr="00FC4AD7" w:rsidRDefault="00A4066B" w:rsidP="00FC4AD7">
      <w:pPr>
        <w:numPr>
          <w:ilvl w:val="0"/>
          <w:numId w:val="9"/>
        </w:numPr>
      </w:pPr>
      <w:r w:rsidRPr="00FC4AD7">
        <w:t>σ: sigmoid function,</w:t>
      </w:r>
    </w:p>
    <w:p w14:paraId="271D521A" w14:textId="77777777" w:rsidR="00A4066B" w:rsidRPr="00FC4AD7" w:rsidRDefault="00A4066B" w:rsidP="00FC4AD7">
      <w:pPr>
        <w:numPr>
          <w:ilvl w:val="0"/>
          <w:numId w:val="9"/>
        </w:numPr>
      </w:pPr>
      <w:r w:rsidRPr="00FC4AD7">
        <w:t>tanh: hyperbolic tangent function,</w:t>
      </w:r>
    </w:p>
    <w:p w14:paraId="2AE36BB0" w14:textId="77777777" w:rsidR="00A4066B" w:rsidRPr="00FC4AD7" w:rsidRDefault="00A4066B" w:rsidP="00FC4AD7">
      <w:pPr>
        <w:numPr>
          <w:ilvl w:val="0"/>
          <w:numId w:val="9"/>
        </w:numPr>
      </w:pPr>
      <w:r w:rsidRPr="00FC4AD7">
        <w:rPr>
          <w:rFonts w:ascii="Cambria Math" w:hAnsi="Cambria Math" w:cs="Cambria Math"/>
        </w:rPr>
        <w:t>⊙</w:t>
      </w:r>
      <w:r w:rsidRPr="00FC4AD7">
        <w:t>: element-wise multiplication.</w:t>
      </w:r>
    </w:p>
    <w:p w14:paraId="71A71A46" w14:textId="77777777" w:rsidR="00A4066B" w:rsidRPr="00FC4AD7" w:rsidRDefault="00A4066B" w:rsidP="00FC4AD7">
      <w:r w:rsidRPr="00FC4AD7">
        <w:t>In this study, a two-layer GRU architecture is employed. The first GRU layer outputs a sequence representation, followed by a second GRU layer that produces a fixed-length feature vector. Dropout layers are applied after each GRU layer to mitigate overfitting. A fully connected layer maps the learned representation to the final output.</w:t>
      </w:r>
    </w:p>
    <w:p w14:paraId="32A7D961" w14:textId="77777777" w:rsidR="00A4066B" w:rsidRPr="00FC4AD7" w:rsidRDefault="00A4066B" w:rsidP="00FC4AD7">
      <w:r w:rsidRPr="00FC4AD7">
        <w:t>The model is trained using the Adam optimizer with a maximum of 200 epochs, batch size of 32, and early stopping with a patience of 20 epochs based on validation loss.</w:t>
      </w:r>
    </w:p>
    <w:p w14:paraId="6C4B3215" w14:textId="77777777" w:rsidR="00A4066B" w:rsidRPr="00FC4AD7" w:rsidRDefault="00A4066B" w:rsidP="00FC4AD7">
      <w:pPr>
        <w:pStyle w:val="heading20"/>
      </w:pPr>
      <w:r w:rsidRPr="00FC4AD7">
        <w:lastRenderedPageBreak/>
        <w:t>3.4</w:t>
      </w:r>
      <w:r w:rsidR="001F5353">
        <w:t xml:space="preserve">   </w:t>
      </w:r>
      <w:r w:rsidRPr="00FC4AD7">
        <w:t>Evaluation Metrics</w:t>
      </w:r>
    </w:p>
    <w:p w14:paraId="1BCD3349" w14:textId="77777777" w:rsidR="00A4066B" w:rsidRPr="001F5353" w:rsidRDefault="00A4066B" w:rsidP="001E2D85">
      <w:pPr>
        <w:ind w:firstLine="0"/>
      </w:pPr>
      <w:r w:rsidRPr="001F5353">
        <w:t xml:space="preserve">To assess forecasting performance, the following metrics are summarized in </w:t>
      </w:r>
      <w:r w:rsidRPr="001F5353">
        <w:fldChar w:fldCharType="begin"/>
      </w:r>
      <w:r w:rsidRPr="001F5353">
        <w:instrText xml:space="preserve"> REF _Ref224814730 \h  \* MERGEFORMAT </w:instrText>
      </w:r>
      <w:r w:rsidRPr="001F5353">
        <w:fldChar w:fldCharType="separate"/>
      </w:r>
      <w:r w:rsidRPr="001F5353">
        <w:t>Table 1</w:t>
      </w:r>
      <w:r w:rsidRPr="001F5353">
        <w:fldChar w:fldCharType="end"/>
      </w:r>
      <w:r w:rsidR="001E2D85">
        <w:t>.</w:t>
      </w:r>
    </w:p>
    <w:p w14:paraId="2A35417A" w14:textId="77777777" w:rsidR="00A4066B" w:rsidRDefault="00A4066B" w:rsidP="001F5353">
      <w:pPr>
        <w:pStyle w:val="tabletitle"/>
        <w:spacing w:after="240"/>
        <w:rPr>
          <w:szCs w:val="18"/>
          <w:lang w:val="en-US"/>
        </w:rPr>
      </w:pPr>
      <w:bookmarkStart w:id="8" w:name="_Ref224814730"/>
      <w:r w:rsidRPr="001F5353">
        <w:rPr>
          <w:b/>
          <w:bCs/>
          <w:szCs w:val="18"/>
          <w:lang w:val="en-US"/>
        </w:rPr>
        <w:t xml:space="preserve">Table </w:t>
      </w:r>
      <w:r w:rsidRPr="001F5353">
        <w:rPr>
          <w:b/>
          <w:bCs/>
          <w:szCs w:val="18"/>
          <w:lang w:val="en-US"/>
        </w:rPr>
        <w:fldChar w:fldCharType="begin"/>
      </w:r>
      <w:r w:rsidRPr="001F5353">
        <w:rPr>
          <w:b/>
          <w:bCs/>
          <w:szCs w:val="18"/>
          <w:lang w:val="en-US"/>
        </w:rPr>
        <w:instrText xml:space="preserve"> SEQ Table \* ARABIC </w:instrText>
      </w:r>
      <w:r w:rsidRPr="001F5353">
        <w:rPr>
          <w:b/>
          <w:bCs/>
          <w:szCs w:val="18"/>
          <w:lang w:val="en-US"/>
        </w:rPr>
        <w:fldChar w:fldCharType="separate"/>
      </w:r>
      <w:r w:rsidRPr="001F5353">
        <w:rPr>
          <w:b/>
          <w:bCs/>
          <w:szCs w:val="18"/>
          <w:lang w:val="en-US"/>
        </w:rPr>
        <w:t>1</w:t>
      </w:r>
      <w:r w:rsidRPr="001F5353">
        <w:rPr>
          <w:b/>
          <w:bCs/>
          <w:szCs w:val="18"/>
          <w:lang w:val="en-US"/>
        </w:rPr>
        <w:fldChar w:fldCharType="end"/>
      </w:r>
      <w:bookmarkEnd w:id="8"/>
      <w:r w:rsidRPr="001F5353">
        <w:rPr>
          <w:b/>
          <w:bCs/>
          <w:szCs w:val="18"/>
          <w:lang w:val="en-US"/>
        </w:rPr>
        <w:t>.</w:t>
      </w:r>
      <w:r w:rsidRPr="001F5353">
        <w:rPr>
          <w:szCs w:val="18"/>
          <w:lang w:val="en-US"/>
        </w:rPr>
        <w:t xml:space="preserve"> Definitions and interpretations of evaluation metrics used to assess model performance</w:t>
      </w:r>
      <w:r w:rsidR="006055E0">
        <w:rPr>
          <w:szCs w:val="18"/>
          <w:lang w:val="en-US"/>
        </w:rPr>
        <w:t>.</w:t>
      </w:r>
    </w:p>
    <w:tbl>
      <w:tblPr>
        <w:tblW w:w="0" w:type="auto"/>
        <w:jc w:val="center"/>
        <w:tblLayout w:type="fixed"/>
        <w:tblCellMar>
          <w:left w:w="70" w:type="dxa"/>
          <w:right w:w="70" w:type="dxa"/>
        </w:tblCellMar>
        <w:tblLook w:val="0000" w:firstRow="0" w:lastRow="0" w:firstColumn="0" w:lastColumn="0" w:noHBand="0" w:noVBand="0"/>
      </w:tblPr>
      <w:tblGrid>
        <w:gridCol w:w="1664"/>
        <w:gridCol w:w="2444"/>
      </w:tblGrid>
      <w:tr w:rsidR="006055E0" w:rsidRPr="009A3755" w14:paraId="74694768" w14:textId="77777777">
        <w:trPr>
          <w:jc w:val="center"/>
        </w:trPr>
        <w:tc>
          <w:tcPr>
            <w:tcW w:w="1664" w:type="dxa"/>
            <w:tcBorders>
              <w:top w:val="single" w:sz="12" w:space="0" w:color="000000"/>
              <w:bottom w:val="single" w:sz="6" w:space="0" w:color="000000"/>
            </w:tcBorders>
          </w:tcPr>
          <w:p w14:paraId="581DA382" w14:textId="77777777" w:rsidR="006055E0" w:rsidRPr="009A3755" w:rsidRDefault="006055E0">
            <w:pPr>
              <w:ind w:firstLine="0"/>
              <w:rPr>
                <w:sz w:val="18"/>
                <w:szCs w:val="18"/>
              </w:rPr>
            </w:pPr>
            <w:r w:rsidRPr="006055E0">
              <w:rPr>
                <w:sz w:val="18"/>
                <w:szCs w:val="18"/>
              </w:rPr>
              <w:t>Metric</w:t>
            </w:r>
          </w:p>
        </w:tc>
        <w:tc>
          <w:tcPr>
            <w:tcW w:w="2444" w:type="dxa"/>
            <w:tcBorders>
              <w:top w:val="single" w:sz="12" w:space="0" w:color="000000"/>
              <w:bottom w:val="single" w:sz="6" w:space="0" w:color="000000"/>
            </w:tcBorders>
          </w:tcPr>
          <w:p w14:paraId="0416A94B" w14:textId="77777777" w:rsidR="006055E0" w:rsidRPr="009A3755" w:rsidRDefault="006055E0">
            <w:pPr>
              <w:ind w:firstLine="0"/>
              <w:rPr>
                <w:sz w:val="18"/>
                <w:szCs w:val="18"/>
              </w:rPr>
            </w:pPr>
            <w:r w:rsidRPr="006055E0">
              <w:rPr>
                <w:sz w:val="18"/>
                <w:szCs w:val="18"/>
              </w:rPr>
              <w:t>Formula</w:t>
            </w:r>
          </w:p>
        </w:tc>
      </w:tr>
      <w:tr w:rsidR="006055E0" w:rsidRPr="009A3755" w14:paraId="44C2795B" w14:textId="77777777" w:rsidTr="006055E0">
        <w:trPr>
          <w:jc w:val="center"/>
        </w:trPr>
        <w:tc>
          <w:tcPr>
            <w:tcW w:w="1664" w:type="dxa"/>
            <w:vAlign w:val="center"/>
          </w:tcPr>
          <w:p w14:paraId="05E56496" w14:textId="77777777" w:rsidR="006055E0" w:rsidRPr="009A3755" w:rsidRDefault="006055E0">
            <w:pPr>
              <w:ind w:firstLine="0"/>
              <w:rPr>
                <w:sz w:val="18"/>
                <w:szCs w:val="18"/>
              </w:rPr>
            </w:pPr>
            <w:r w:rsidRPr="006055E0">
              <w:rPr>
                <w:sz w:val="18"/>
                <w:szCs w:val="18"/>
              </w:rPr>
              <w:t>MSE</w:t>
            </w:r>
          </w:p>
        </w:tc>
        <w:tc>
          <w:tcPr>
            <w:tcW w:w="2444" w:type="dxa"/>
          </w:tcPr>
          <w:p w14:paraId="4C506F16" w14:textId="2B10F5EE" w:rsidR="006055E0" w:rsidRPr="005D4B4A" w:rsidRDefault="005D4B4A">
            <w:pPr>
              <w:ind w:firstLine="0"/>
              <w:rPr>
                <w:sz w:val="18"/>
                <w:szCs w:val="18"/>
              </w:rPr>
            </w:pPr>
            <m:oMathPara>
              <m:oMath>
                <m:r>
                  <w:rPr>
                    <w:rFonts w:ascii="Cambria Math" w:eastAsia="Aptos" w:hAnsi="Cambria Math"/>
                  </w:rPr>
                  <m:t>MSE=</m:t>
                </m:r>
                <m:f>
                  <m:fPr>
                    <m:ctrlPr>
                      <w:rPr>
                        <w:rFonts w:ascii="Cambria Math" w:eastAsia="Aptos" w:hAnsi="Cambria Math"/>
                        <w:i/>
                      </w:rPr>
                    </m:ctrlPr>
                  </m:fPr>
                  <m:num>
                    <m:r>
                      <w:rPr>
                        <w:rFonts w:ascii="Cambria Math" w:eastAsia="Aptos" w:hAnsi="Cambria Math"/>
                      </w:rPr>
                      <m:t>1</m:t>
                    </m:r>
                  </m:num>
                  <m:den>
                    <m:r>
                      <w:rPr>
                        <w:rFonts w:ascii="Cambria Math" w:eastAsia="Aptos" w:hAnsi="Cambria Math"/>
                      </w:rPr>
                      <m:t>n</m:t>
                    </m:r>
                  </m:den>
                </m:f>
                <m:nary>
                  <m:naryPr>
                    <m:chr m:val="∑"/>
                    <m:limLoc m:val="undOvr"/>
                    <m:ctrlPr>
                      <w:rPr>
                        <w:rFonts w:ascii="Cambria Math" w:eastAsia="Aptos" w:hAnsi="Cambria Math"/>
                        <w:i/>
                      </w:rPr>
                    </m:ctrlPr>
                  </m:naryPr>
                  <m:sub>
                    <m:r>
                      <w:rPr>
                        <w:rFonts w:ascii="Cambria Math" w:eastAsia="Aptos" w:hAnsi="Cambria Math"/>
                      </w:rPr>
                      <m:t>i=1</m:t>
                    </m:r>
                  </m:sub>
                  <m:sup>
                    <m:r>
                      <w:rPr>
                        <w:rFonts w:ascii="Cambria Math" w:eastAsia="Aptos" w:hAnsi="Cambria Math"/>
                      </w:rPr>
                      <m:t>n</m:t>
                    </m:r>
                  </m:sup>
                  <m:e>
                    <m:sSup>
                      <m:sSupPr>
                        <m:ctrlPr>
                          <w:rPr>
                            <w:rFonts w:ascii="Cambria Math" w:eastAsia="Aptos" w:hAnsi="Cambria Math"/>
                            <w:i/>
                          </w:rPr>
                        </m:ctrlPr>
                      </m:sSupPr>
                      <m:e>
                        <m:r>
                          <w:rPr>
                            <w:rFonts w:ascii="Cambria Math" w:eastAsia="Aptos" w:hAnsi="Cambria Math"/>
                          </w:rPr>
                          <m:t>(</m:t>
                        </m:r>
                        <m:sSub>
                          <m:sSubPr>
                            <m:ctrlPr>
                              <w:rPr>
                                <w:rFonts w:ascii="Cambria Math" w:eastAsia="Aptos" w:hAnsi="Cambria Math"/>
                                <w:i/>
                              </w:rPr>
                            </m:ctrlPr>
                          </m:sSubPr>
                          <m:e>
                            <m:r>
                              <w:rPr>
                                <w:rFonts w:ascii="Cambria Math" w:eastAsia="Aptos" w:hAnsi="Cambria Math"/>
                              </w:rPr>
                              <m:t>y</m:t>
                            </m:r>
                          </m:e>
                          <m:sub>
                            <m:r>
                              <w:rPr>
                                <w:rFonts w:ascii="Cambria Math" w:eastAsia="Aptos" w:hAnsi="Cambria Math"/>
                              </w:rPr>
                              <m:t>i</m:t>
                            </m:r>
                          </m:sub>
                        </m:sSub>
                        <m:r>
                          <w:rPr>
                            <w:rFonts w:ascii="Cambria Math" w:eastAsia="Aptos" w:hAnsi="Cambria Math"/>
                          </w:rPr>
                          <m:t>-</m:t>
                        </m:r>
                        <m:acc>
                          <m:accPr>
                            <m:ctrlPr>
                              <w:rPr>
                                <w:rFonts w:ascii="Cambria Math" w:eastAsia="Aptos" w:hAnsi="Cambria Math"/>
                                <w:i/>
                              </w:rPr>
                            </m:ctrlPr>
                          </m:accPr>
                          <m:e>
                            <m:sSub>
                              <m:sSubPr>
                                <m:ctrlPr>
                                  <w:rPr>
                                    <w:rFonts w:ascii="Cambria Math" w:eastAsia="Aptos" w:hAnsi="Cambria Math"/>
                                    <w:i/>
                                  </w:rPr>
                                </m:ctrlPr>
                              </m:sSubPr>
                              <m:e>
                                <m:r>
                                  <w:rPr>
                                    <w:rFonts w:ascii="Cambria Math" w:eastAsia="Aptos" w:hAnsi="Cambria Math"/>
                                  </w:rPr>
                                  <m:t>y</m:t>
                                </m:r>
                              </m:e>
                              <m:sub>
                                <m:r>
                                  <w:rPr>
                                    <w:rFonts w:ascii="Cambria Math" w:eastAsia="Aptos" w:hAnsi="Cambria Math"/>
                                  </w:rPr>
                                  <m:t>i</m:t>
                                </m:r>
                              </m:sub>
                            </m:sSub>
                          </m:e>
                        </m:acc>
                        <m:r>
                          <w:rPr>
                            <w:rFonts w:ascii="Cambria Math" w:eastAsia="Aptos" w:hAnsi="Cambria Math"/>
                          </w:rPr>
                          <m:t>)</m:t>
                        </m:r>
                      </m:e>
                      <m:sup>
                        <m:r>
                          <w:rPr>
                            <w:rFonts w:ascii="Cambria Math" w:eastAsia="Aptos" w:hAnsi="Cambria Math"/>
                          </w:rPr>
                          <m:t>2</m:t>
                        </m:r>
                      </m:sup>
                    </m:sSup>
                  </m:e>
                </m:nary>
              </m:oMath>
            </m:oMathPara>
          </w:p>
        </w:tc>
      </w:tr>
      <w:tr w:rsidR="006055E0" w:rsidRPr="009A3755" w14:paraId="4705312E" w14:textId="77777777" w:rsidTr="006055E0">
        <w:trPr>
          <w:jc w:val="center"/>
        </w:trPr>
        <w:tc>
          <w:tcPr>
            <w:tcW w:w="1664" w:type="dxa"/>
            <w:vAlign w:val="center"/>
          </w:tcPr>
          <w:p w14:paraId="73B67425" w14:textId="77777777" w:rsidR="006055E0" w:rsidRPr="006055E0" w:rsidRDefault="006055E0">
            <w:pPr>
              <w:ind w:firstLine="0"/>
              <w:rPr>
                <w:sz w:val="18"/>
                <w:szCs w:val="18"/>
              </w:rPr>
            </w:pPr>
            <w:r w:rsidRPr="006055E0">
              <w:rPr>
                <w:sz w:val="18"/>
                <w:szCs w:val="18"/>
              </w:rPr>
              <w:t>RMSE</w:t>
            </w:r>
          </w:p>
        </w:tc>
        <w:tc>
          <w:tcPr>
            <w:tcW w:w="2444" w:type="dxa"/>
          </w:tcPr>
          <w:p w14:paraId="39929259" w14:textId="23D31F34" w:rsidR="006055E0" w:rsidRPr="005D4B4A" w:rsidRDefault="005D4B4A">
            <w:pPr>
              <w:ind w:firstLine="0"/>
              <w:rPr>
                <w:sz w:val="18"/>
                <w:szCs w:val="18"/>
              </w:rPr>
            </w:pPr>
            <m:oMathPara>
              <m:oMath>
                <m:r>
                  <w:rPr>
                    <w:rFonts w:ascii="Cambria Math" w:eastAsia="Aptos" w:hAnsi="Cambria Math"/>
                  </w:rPr>
                  <m:t>RMSE=</m:t>
                </m:r>
                <m:rad>
                  <m:radPr>
                    <m:degHide m:val="1"/>
                    <m:ctrlPr>
                      <w:rPr>
                        <w:rFonts w:ascii="Cambria Math" w:eastAsia="Aptos" w:hAnsi="Cambria Math"/>
                        <w:i/>
                      </w:rPr>
                    </m:ctrlPr>
                  </m:radPr>
                  <m:deg/>
                  <m:e>
                    <m:r>
                      <w:rPr>
                        <w:rFonts w:ascii="Cambria Math" w:eastAsia="Aptos" w:hAnsi="Cambria Math"/>
                      </w:rPr>
                      <m:t>MSE</m:t>
                    </m:r>
                  </m:e>
                </m:rad>
              </m:oMath>
            </m:oMathPara>
          </w:p>
        </w:tc>
      </w:tr>
      <w:tr w:rsidR="006055E0" w:rsidRPr="009A3755" w14:paraId="45382621" w14:textId="77777777" w:rsidTr="006055E0">
        <w:trPr>
          <w:jc w:val="center"/>
        </w:trPr>
        <w:tc>
          <w:tcPr>
            <w:tcW w:w="1664" w:type="dxa"/>
            <w:vAlign w:val="center"/>
          </w:tcPr>
          <w:p w14:paraId="2D3C8B2D" w14:textId="77777777" w:rsidR="006055E0" w:rsidRPr="006055E0" w:rsidRDefault="006055E0">
            <w:pPr>
              <w:ind w:firstLine="0"/>
              <w:rPr>
                <w:sz w:val="18"/>
                <w:szCs w:val="18"/>
              </w:rPr>
            </w:pPr>
            <w:r w:rsidRPr="006055E0">
              <w:rPr>
                <w:sz w:val="18"/>
                <w:szCs w:val="18"/>
              </w:rPr>
              <w:t>MAPE</w:t>
            </w:r>
          </w:p>
        </w:tc>
        <w:tc>
          <w:tcPr>
            <w:tcW w:w="2444" w:type="dxa"/>
          </w:tcPr>
          <w:p w14:paraId="06B4128C" w14:textId="6F001656" w:rsidR="006055E0" w:rsidRPr="005D4B4A" w:rsidRDefault="005D4B4A">
            <w:pPr>
              <w:ind w:firstLine="0"/>
              <w:rPr>
                <w:sz w:val="18"/>
                <w:szCs w:val="18"/>
              </w:rPr>
            </w:pPr>
            <m:oMathPara>
              <m:oMath>
                <m:r>
                  <w:rPr>
                    <w:rFonts w:ascii="Cambria Math" w:eastAsia="Aptos" w:hAnsi="Cambria Math"/>
                  </w:rPr>
                  <m:t>MAPE=</m:t>
                </m:r>
                <m:f>
                  <m:fPr>
                    <m:ctrlPr>
                      <w:rPr>
                        <w:rFonts w:ascii="Cambria Math" w:eastAsia="Aptos" w:hAnsi="Cambria Math"/>
                        <w:i/>
                      </w:rPr>
                    </m:ctrlPr>
                  </m:fPr>
                  <m:num>
                    <m:r>
                      <w:rPr>
                        <w:rFonts w:ascii="Cambria Math" w:eastAsia="Aptos" w:hAnsi="Cambria Math"/>
                      </w:rPr>
                      <m:t>100%</m:t>
                    </m:r>
                  </m:num>
                  <m:den>
                    <m:r>
                      <w:rPr>
                        <w:rFonts w:ascii="Cambria Math" w:eastAsia="Aptos" w:hAnsi="Cambria Math"/>
                      </w:rPr>
                      <m:t>n</m:t>
                    </m:r>
                  </m:den>
                </m:f>
                <m:nary>
                  <m:naryPr>
                    <m:chr m:val="∑"/>
                    <m:limLoc m:val="undOvr"/>
                    <m:ctrlPr>
                      <w:rPr>
                        <w:rFonts w:ascii="Cambria Math" w:eastAsia="Aptos" w:hAnsi="Cambria Math"/>
                        <w:i/>
                      </w:rPr>
                    </m:ctrlPr>
                  </m:naryPr>
                  <m:sub>
                    <m:r>
                      <w:rPr>
                        <w:rFonts w:ascii="Cambria Math" w:eastAsia="Aptos" w:hAnsi="Cambria Math"/>
                      </w:rPr>
                      <m:t>i=1</m:t>
                    </m:r>
                  </m:sub>
                  <m:sup>
                    <m:r>
                      <w:rPr>
                        <w:rFonts w:ascii="Cambria Math" w:eastAsia="Aptos" w:hAnsi="Cambria Math"/>
                      </w:rPr>
                      <m:t>n</m:t>
                    </m:r>
                  </m:sup>
                  <m:e>
                    <m:d>
                      <m:dPr>
                        <m:begChr m:val="|"/>
                        <m:endChr m:val="|"/>
                        <m:ctrlPr>
                          <w:rPr>
                            <w:rFonts w:ascii="Cambria Math" w:eastAsia="Aptos" w:hAnsi="Cambria Math"/>
                            <w:i/>
                          </w:rPr>
                        </m:ctrlPr>
                      </m:dPr>
                      <m:e>
                        <m:f>
                          <m:fPr>
                            <m:ctrlPr>
                              <w:rPr>
                                <w:rFonts w:ascii="Cambria Math" w:eastAsia="Aptos" w:hAnsi="Cambria Math"/>
                                <w:i/>
                              </w:rPr>
                            </m:ctrlPr>
                          </m:fPr>
                          <m:num>
                            <m:sSub>
                              <m:sSubPr>
                                <m:ctrlPr>
                                  <w:rPr>
                                    <w:rFonts w:ascii="Cambria Math" w:eastAsia="Aptos" w:hAnsi="Cambria Math"/>
                                    <w:i/>
                                  </w:rPr>
                                </m:ctrlPr>
                              </m:sSubPr>
                              <m:e>
                                <m:r>
                                  <w:rPr>
                                    <w:rFonts w:ascii="Cambria Math" w:eastAsia="Aptos" w:hAnsi="Cambria Math"/>
                                  </w:rPr>
                                  <m:t>y</m:t>
                                </m:r>
                              </m:e>
                              <m:sub>
                                <m:r>
                                  <w:rPr>
                                    <w:rFonts w:ascii="Cambria Math" w:eastAsia="Aptos" w:hAnsi="Cambria Math"/>
                                  </w:rPr>
                                  <m:t>i</m:t>
                                </m:r>
                              </m:sub>
                            </m:sSub>
                            <m:r>
                              <w:rPr>
                                <w:rFonts w:ascii="Cambria Math" w:eastAsia="Aptos" w:hAnsi="Cambria Math"/>
                              </w:rPr>
                              <m:t>-</m:t>
                            </m:r>
                            <m:acc>
                              <m:accPr>
                                <m:ctrlPr>
                                  <w:rPr>
                                    <w:rFonts w:ascii="Cambria Math" w:eastAsia="Aptos" w:hAnsi="Cambria Math"/>
                                    <w:i/>
                                  </w:rPr>
                                </m:ctrlPr>
                              </m:accPr>
                              <m:e>
                                <m:sSub>
                                  <m:sSubPr>
                                    <m:ctrlPr>
                                      <w:rPr>
                                        <w:rFonts w:ascii="Cambria Math" w:eastAsia="Aptos" w:hAnsi="Cambria Math"/>
                                        <w:i/>
                                      </w:rPr>
                                    </m:ctrlPr>
                                  </m:sSubPr>
                                  <m:e>
                                    <m:r>
                                      <w:rPr>
                                        <w:rFonts w:ascii="Cambria Math" w:eastAsia="Aptos" w:hAnsi="Cambria Math"/>
                                      </w:rPr>
                                      <m:t>y</m:t>
                                    </m:r>
                                  </m:e>
                                  <m:sub>
                                    <m:r>
                                      <w:rPr>
                                        <w:rFonts w:ascii="Cambria Math" w:eastAsia="Aptos" w:hAnsi="Cambria Math"/>
                                      </w:rPr>
                                      <m:t>i</m:t>
                                    </m:r>
                                  </m:sub>
                                </m:sSub>
                              </m:e>
                            </m:acc>
                          </m:num>
                          <m:den>
                            <m:sSub>
                              <m:sSubPr>
                                <m:ctrlPr>
                                  <w:rPr>
                                    <w:rFonts w:ascii="Cambria Math" w:eastAsia="Aptos" w:hAnsi="Cambria Math"/>
                                    <w:i/>
                                  </w:rPr>
                                </m:ctrlPr>
                              </m:sSubPr>
                              <m:e>
                                <m:r>
                                  <w:rPr>
                                    <w:rFonts w:ascii="Cambria Math" w:eastAsia="Aptos" w:hAnsi="Cambria Math"/>
                                  </w:rPr>
                                  <m:t>y</m:t>
                                </m:r>
                              </m:e>
                              <m:sub>
                                <m:r>
                                  <w:rPr>
                                    <w:rFonts w:ascii="Cambria Math" w:eastAsia="Aptos" w:hAnsi="Cambria Math"/>
                                  </w:rPr>
                                  <m:t>i</m:t>
                                </m:r>
                              </m:sub>
                            </m:sSub>
                          </m:den>
                        </m:f>
                      </m:e>
                    </m:d>
                  </m:e>
                </m:nary>
              </m:oMath>
            </m:oMathPara>
          </w:p>
        </w:tc>
      </w:tr>
      <w:tr w:rsidR="006055E0" w:rsidRPr="009A3755" w14:paraId="71BB6401" w14:textId="77777777" w:rsidTr="006055E0">
        <w:trPr>
          <w:jc w:val="center"/>
        </w:trPr>
        <w:tc>
          <w:tcPr>
            <w:tcW w:w="1664" w:type="dxa"/>
            <w:vAlign w:val="center"/>
          </w:tcPr>
          <w:p w14:paraId="161B8C58" w14:textId="77777777" w:rsidR="006055E0" w:rsidRPr="006055E0" w:rsidRDefault="006055E0">
            <w:pPr>
              <w:ind w:firstLine="0"/>
              <w:rPr>
                <w:sz w:val="18"/>
                <w:szCs w:val="18"/>
              </w:rPr>
            </w:pPr>
            <w:r w:rsidRPr="006055E0">
              <w:rPr>
                <w:sz w:val="18"/>
                <w:szCs w:val="18"/>
              </w:rPr>
              <w:t>MAE</w:t>
            </w:r>
          </w:p>
        </w:tc>
        <w:tc>
          <w:tcPr>
            <w:tcW w:w="2444" w:type="dxa"/>
          </w:tcPr>
          <w:p w14:paraId="39E3C2F8" w14:textId="72035C34" w:rsidR="006055E0" w:rsidRPr="005D4B4A" w:rsidRDefault="005D4B4A">
            <w:pPr>
              <w:ind w:firstLine="0"/>
              <w:rPr>
                <w:sz w:val="18"/>
                <w:szCs w:val="18"/>
              </w:rPr>
            </w:pPr>
            <m:oMathPara>
              <m:oMath>
                <m:r>
                  <w:rPr>
                    <w:rFonts w:ascii="Cambria Math" w:eastAsia="Aptos" w:hAnsi="Cambria Math"/>
                  </w:rPr>
                  <m:t>MAE=</m:t>
                </m:r>
                <m:f>
                  <m:fPr>
                    <m:ctrlPr>
                      <w:rPr>
                        <w:rFonts w:ascii="Cambria Math" w:eastAsia="Aptos" w:hAnsi="Cambria Math"/>
                        <w:i/>
                      </w:rPr>
                    </m:ctrlPr>
                  </m:fPr>
                  <m:num>
                    <m:r>
                      <w:rPr>
                        <w:rFonts w:ascii="Cambria Math" w:eastAsia="Aptos" w:hAnsi="Cambria Math"/>
                      </w:rPr>
                      <m:t>1</m:t>
                    </m:r>
                  </m:num>
                  <m:den>
                    <m:r>
                      <w:rPr>
                        <w:rFonts w:ascii="Cambria Math" w:eastAsia="Aptos" w:hAnsi="Cambria Math"/>
                      </w:rPr>
                      <m:t>n</m:t>
                    </m:r>
                  </m:den>
                </m:f>
                <m:nary>
                  <m:naryPr>
                    <m:chr m:val="∑"/>
                    <m:limLoc m:val="undOvr"/>
                    <m:ctrlPr>
                      <w:rPr>
                        <w:rFonts w:ascii="Cambria Math" w:eastAsia="Aptos" w:hAnsi="Cambria Math"/>
                        <w:i/>
                      </w:rPr>
                    </m:ctrlPr>
                  </m:naryPr>
                  <m:sub>
                    <m:r>
                      <w:rPr>
                        <w:rFonts w:ascii="Cambria Math" w:eastAsia="Aptos" w:hAnsi="Cambria Math"/>
                      </w:rPr>
                      <m:t>i=1</m:t>
                    </m:r>
                  </m:sub>
                  <m:sup>
                    <m:r>
                      <w:rPr>
                        <w:rFonts w:ascii="Cambria Math" w:eastAsia="Aptos" w:hAnsi="Cambria Math"/>
                      </w:rPr>
                      <m:t>n</m:t>
                    </m:r>
                  </m:sup>
                  <m:e>
                    <m:d>
                      <m:dPr>
                        <m:begChr m:val="|"/>
                        <m:endChr m:val="|"/>
                        <m:ctrlPr>
                          <w:rPr>
                            <w:rFonts w:ascii="Cambria Math" w:eastAsia="Aptos" w:hAnsi="Cambria Math"/>
                            <w:i/>
                          </w:rPr>
                        </m:ctrlPr>
                      </m:dPr>
                      <m:e>
                        <m:sSub>
                          <m:sSubPr>
                            <m:ctrlPr>
                              <w:rPr>
                                <w:rFonts w:ascii="Cambria Math" w:eastAsia="Aptos" w:hAnsi="Cambria Math"/>
                                <w:i/>
                              </w:rPr>
                            </m:ctrlPr>
                          </m:sSubPr>
                          <m:e>
                            <m:r>
                              <w:rPr>
                                <w:rFonts w:ascii="Cambria Math" w:eastAsia="Aptos" w:hAnsi="Cambria Math"/>
                              </w:rPr>
                              <m:t>y</m:t>
                            </m:r>
                          </m:e>
                          <m:sub>
                            <m:r>
                              <w:rPr>
                                <w:rFonts w:ascii="Cambria Math" w:eastAsia="Aptos" w:hAnsi="Cambria Math"/>
                              </w:rPr>
                              <m:t>i</m:t>
                            </m:r>
                          </m:sub>
                        </m:sSub>
                        <m:r>
                          <w:rPr>
                            <w:rFonts w:ascii="Cambria Math" w:eastAsia="Aptos" w:hAnsi="Cambria Math"/>
                          </w:rPr>
                          <m:t>-</m:t>
                        </m:r>
                        <m:acc>
                          <m:accPr>
                            <m:ctrlPr>
                              <w:rPr>
                                <w:rFonts w:ascii="Cambria Math" w:eastAsia="Aptos" w:hAnsi="Cambria Math"/>
                                <w:i/>
                              </w:rPr>
                            </m:ctrlPr>
                          </m:accPr>
                          <m:e>
                            <m:sSub>
                              <m:sSubPr>
                                <m:ctrlPr>
                                  <w:rPr>
                                    <w:rFonts w:ascii="Cambria Math" w:eastAsia="Aptos" w:hAnsi="Cambria Math"/>
                                    <w:i/>
                                  </w:rPr>
                                </m:ctrlPr>
                              </m:sSubPr>
                              <m:e>
                                <m:r>
                                  <w:rPr>
                                    <w:rFonts w:ascii="Cambria Math" w:eastAsia="Aptos" w:hAnsi="Cambria Math"/>
                                  </w:rPr>
                                  <m:t>y</m:t>
                                </m:r>
                              </m:e>
                              <m:sub>
                                <m:r>
                                  <w:rPr>
                                    <w:rFonts w:ascii="Cambria Math" w:eastAsia="Aptos" w:hAnsi="Cambria Math"/>
                                  </w:rPr>
                                  <m:t>i</m:t>
                                </m:r>
                              </m:sub>
                            </m:sSub>
                          </m:e>
                        </m:acc>
                      </m:e>
                    </m:d>
                  </m:e>
                </m:nary>
              </m:oMath>
            </m:oMathPara>
          </w:p>
        </w:tc>
      </w:tr>
      <w:tr w:rsidR="006055E0" w:rsidRPr="009A3755" w14:paraId="1412031D" w14:textId="77777777" w:rsidTr="006055E0">
        <w:trPr>
          <w:jc w:val="center"/>
        </w:trPr>
        <w:tc>
          <w:tcPr>
            <w:tcW w:w="1664" w:type="dxa"/>
            <w:tcBorders>
              <w:bottom w:val="single" w:sz="12" w:space="0" w:color="000000"/>
            </w:tcBorders>
            <w:vAlign w:val="center"/>
          </w:tcPr>
          <w:p w14:paraId="3CF8783E" w14:textId="77777777" w:rsidR="006055E0" w:rsidRPr="006055E0" w:rsidRDefault="006055E0">
            <w:pPr>
              <w:ind w:firstLine="0"/>
              <w:rPr>
                <w:sz w:val="18"/>
                <w:szCs w:val="18"/>
              </w:rPr>
            </w:pPr>
            <w:r w:rsidRPr="006055E0">
              <w:rPr>
                <w:sz w:val="18"/>
                <w:szCs w:val="18"/>
              </w:rPr>
              <w:t>R</w:t>
            </w:r>
            <w:r w:rsidRPr="006055E0">
              <w:rPr>
                <w:sz w:val="18"/>
                <w:szCs w:val="18"/>
                <w:vertAlign w:val="superscript"/>
              </w:rPr>
              <w:t>2</w:t>
            </w:r>
          </w:p>
        </w:tc>
        <w:tc>
          <w:tcPr>
            <w:tcW w:w="2444" w:type="dxa"/>
            <w:tcBorders>
              <w:bottom w:val="single" w:sz="12" w:space="0" w:color="000000"/>
            </w:tcBorders>
          </w:tcPr>
          <w:p w14:paraId="2329C25C" w14:textId="2BD1B8C1" w:rsidR="006055E0" w:rsidRPr="005D4B4A" w:rsidRDefault="00000000">
            <w:pPr>
              <w:ind w:firstLine="0"/>
              <w:rPr>
                <w:sz w:val="18"/>
                <w:szCs w:val="18"/>
              </w:rPr>
            </w:pPr>
            <m:oMathPara>
              <m:oMath>
                <m:sSup>
                  <m:sSupPr>
                    <m:ctrlPr>
                      <w:rPr>
                        <w:rFonts w:ascii="Cambria Math" w:eastAsia="Aptos" w:hAnsi="Cambria Math"/>
                        <w:i/>
                      </w:rPr>
                    </m:ctrlPr>
                  </m:sSupPr>
                  <m:e>
                    <m:r>
                      <w:rPr>
                        <w:rFonts w:ascii="Cambria Math" w:eastAsia="Aptos" w:hAnsi="Cambria Math"/>
                      </w:rPr>
                      <m:t>R</m:t>
                    </m:r>
                  </m:e>
                  <m:sup>
                    <m:r>
                      <w:rPr>
                        <w:rFonts w:ascii="Cambria Math" w:eastAsia="Aptos" w:hAnsi="Cambria Math"/>
                      </w:rPr>
                      <m:t>2</m:t>
                    </m:r>
                  </m:sup>
                </m:sSup>
                <m:r>
                  <w:rPr>
                    <w:rFonts w:ascii="Cambria Math" w:eastAsia="Aptos" w:hAnsi="Cambria Math"/>
                  </w:rPr>
                  <m:t>=1-</m:t>
                </m:r>
                <m:f>
                  <m:fPr>
                    <m:ctrlPr>
                      <w:rPr>
                        <w:rFonts w:ascii="Cambria Math" w:eastAsia="Aptos" w:hAnsi="Cambria Math"/>
                        <w:i/>
                      </w:rPr>
                    </m:ctrlPr>
                  </m:fPr>
                  <m:num>
                    <m:nary>
                      <m:naryPr>
                        <m:chr m:val="∑"/>
                        <m:limLoc m:val="subSup"/>
                        <m:ctrlPr>
                          <w:rPr>
                            <w:rFonts w:ascii="Cambria Math" w:eastAsia="Aptos" w:hAnsi="Cambria Math"/>
                            <w:i/>
                          </w:rPr>
                        </m:ctrlPr>
                      </m:naryPr>
                      <m:sub>
                        <m:r>
                          <w:rPr>
                            <w:rFonts w:ascii="Cambria Math" w:eastAsia="Aptos" w:hAnsi="Cambria Math"/>
                          </w:rPr>
                          <m:t>i=1</m:t>
                        </m:r>
                      </m:sub>
                      <m:sup>
                        <m:r>
                          <w:rPr>
                            <w:rFonts w:ascii="Cambria Math" w:eastAsia="Aptos" w:hAnsi="Cambria Math"/>
                          </w:rPr>
                          <m:t>n</m:t>
                        </m:r>
                      </m:sup>
                      <m:e>
                        <m:sSup>
                          <m:sSupPr>
                            <m:ctrlPr>
                              <w:rPr>
                                <w:rFonts w:ascii="Cambria Math" w:eastAsia="Aptos" w:hAnsi="Cambria Math"/>
                                <w:i/>
                              </w:rPr>
                            </m:ctrlPr>
                          </m:sSupPr>
                          <m:e>
                            <m:r>
                              <w:rPr>
                                <w:rFonts w:ascii="Cambria Math" w:eastAsia="Aptos" w:hAnsi="Cambria Math"/>
                              </w:rPr>
                              <m:t>(</m:t>
                            </m:r>
                            <m:sSub>
                              <m:sSubPr>
                                <m:ctrlPr>
                                  <w:rPr>
                                    <w:rFonts w:ascii="Cambria Math" w:eastAsia="Aptos" w:hAnsi="Cambria Math"/>
                                    <w:i/>
                                  </w:rPr>
                                </m:ctrlPr>
                              </m:sSubPr>
                              <m:e>
                                <m:r>
                                  <w:rPr>
                                    <w:rFonts w:ascii="Cambria Math" w:eastAsia="Aptos" w:hAnsi="Cambria Math"/>
                                  </w:rPr>
                                  <m:t>y</m:t>
                                </m:r>
                              </m:e>
                              <m:sub>
                                <m:r>
                                  <w:rPr>
                                    <w:rFonts w:ascii="Cambria Math" w:eastAsia="Aptos" w:hAnsi="Cambria Math"/>
                                  </w:rPr>
                                  <m:t>i</m:t>
                                </m:r>
                              </m:sub>
                            </m:sSub>
                            <m:r>
                              <w:rPr>
                                <w:rFonts w:ascii="Cambria Math" w:eastAsia="Aptos" w:hAnsi="Cambria Math"/>
                              </w:rPr>
                              <m:t>-</m:t>
                            </m:r>
                            <m:sSub>
                              <m:sSubPr>
                                <m:ctrlPr>
                                  <w:rPr>
                                    <w:rFonts w:ascii="Cambria Math" w:eastAsia="Aptos" w:hAnsi="Cambria Math"/>
                                    <w:i/>
                                  </w:rPr>
                                </m:ctrlPr>
                              </m:sSubPr>
                              <m:e>
                                <m:acc>
                                  <m:accPr>
                                    <m:ctrlPr>
                                      <w:rPr>
                                        <w:rFonts w:ascii="Cambria Math" w:eastAsia="Aptos" w:hAnsi="Cambria Math"/>
                                        <w:i/>
                                      </w:rPr>
                                    </m:ctrlPr>
                                  </m:accPr>
                                  <m:e>
                                    <m:r>
                                      <w:rPr>
                                        <w:rFonts w:ascii="Cambria Math" w:eastAsia="Aptos" w:hAnsi="Cambria Math"/>
                                      </w:rPr>
                                      <m:t>y</m:t>
                                    </m:r>
                                  </m:e>
                                </m:acc>
                              </m:e>
                              <m:sub>
                                <m:r>
                                  <w:rPr>
                                    <w:rFonts w:ascii="Cambria Math" w:eastAsia="Aptos" w:hAnsi="Cambria Math"/>
                                  </w:rPr>
                                  <m:t>i</m:t>
                                </m:r>
                              </m:sub>
                            </m:sSub>
                            <m:r>
                              <w:rPr>
                                <w:rFonts w:ascii="Cambria Math" w:eastAsia="Aptos" w:hAnsi="Cambria Math"/>
                              </w:rPr>
                              <m:t>)</m:t>
                            </m:r>
                          </m:e>
                          <m:sup>
                            <m:r>
                              <w:rPr>
                                <w:rFonts w:ascii="Cambria Math" w:eastAsia="Aptos" w:hAnsi="Cambria Math"/>
                              </w:rPr>
                              <m:t>2</m:t>
                            </m:r>
                          </m:sup>
                        </m:sSup>
                      </m:e>
                    </m:nary>
                  </m:num>
                  <m:den>
                    <m:nary>
                      <m:naryPr>
                        <m:chr m:val="∑"/>
                        <m:limLoc m:val="subSup"/>
                        <m:ctrlPr>
                          <w:rPr>
                            <w:rFonts w:ascii="Cambria Math" w:eastAsia="Aptos" w:hAnsi="Cambria Math"/>
                            <w:i/>
                          </w:rPr>
                        </m:ctrlPr>
                      </m:naryPr>
                      <m:sub>
                        <m:r>
                          <w:rPr>
                            <w:rFonts w:ascii="Cambria Math" w:eastAsia="Aptos" w:hAnsi="Cambria Math"/>
                          </w:rPr>
                          <m:t>i=1</m:t>
                        </m:r>
                      </m:sub>
                      <m:sup>
                        <m:r>
                          <w:rPr>
                            <w:rFonts w:ascii="Cambria Math" w:eastAsia="Aptos" w:hAnsi="Cambria Math"/>
                          </w:rPr>
                          <m:t>n</m:t>
                        </m:r>
                      </m:sup>
                      <m:e>
                        <m:sSup>
                          <m:sSupPr>
                            <m:ctrlPr>
                              <w:rPr>
                                <w:rFonts w:ascii="Cambria Math" w:eastAsia="Aptos" w:hAnsi="Cambria Math"/>
                                <w:i/>
                              </w:rPr>
                            </m:ctrlPr>
                          </m:sSupPr>
                          <m:e>
                            <m:r>
                              <w:rPr>
                                <w:rFonts w:ascii="Cambria Math" w:eastAsia="Aptos" w:hAnsi="Cambria Math"/>
                              </w:rPr>
                              <m:t>(</m:t>
                            </m:r>
                            <m:sSub>
                              <m:sSubPr>
                                <m:ctrlPr>
                                  <w:rPr>
                                    <w:rFonts w:ascii="Cambria Math" w:eastAsia="Aptos" w:hAnsi="Cambria Math"/>
                                    <w:i/>
                                  </w:rPr>
                                </m:ctrlPr>
                              </m:sSubPr>
                              <m:e>
                                <m:r>
                                  <w:rPr>
                                    <w:rFonts w:ascii="Cambria Math" w:eastAsia="Aptos" w:hAnsi="Cambria Math"/>
                                  </w:rPr>
                                  <m:t>y</m:t>
                                </m:r>
                              </m:e>
                              <m:sub>
                                <m:r>
                                  <w:rPr>
                                    <w:rFonts w:ascii="Cambria Math" w:eastAsia="Aptos" w:hAnsi="Cambria Math"/>
                                  </w:rPr>
                                  <m:t>i</m:t>
                                </m:r>
                              </m:sub>
                            </m:sSub>
                            <m:r>
                              <w:rPr>
                                <w:rFonts w:ascii="Cambria Math" w:eastAsia="Aptos" w:hAnsi="Cambria Math"/>
                              </w:rPr>
                              <m:t>-</m:t>
                            </m:r>
                            <m:sSub>
                              <m:sSubPr>
                                <m:ctrlPr>
                                  <w:rPr>
                                    <w:rFonts w:ascii="Cambria Math" w:eastAsia="Aptos" w:hAnsi="Cambria Math"/>
                                    <w:i/>
                                  </w:rPr>
                                </m:ctrlPr>
                              </m:sSubPr>
                              <m:e>
                                <m:acc>
                                  <m:accPr>
                                    <m:chr m:val="̅"/>
                                    <m:ctrlPr>
                                      <w:rPr>
                                        <w:rFonts w:ascii="Cambria Math" w:eastAsia="Aptos" w:hAnsi="Cambria Math"/>
                                        <w:i/>
                                      </w:rPr>
                                    </m:ctrlPr>
                                  </m:accPr>
                                  <m:e>
                                    <m:r>
                                      <w:rPr>
                                        <w:rFonts w:ascii="Cambria Math" w:eastAsia="Aptos" w:hAnsi="Cambria Math"/>
                                      </w:rPr>
                                      <m:t>y</m:t>
                                    </m:r>
                                  </m:e>
                                </m:acc>
                              </m:e>
                              <m:sub>
                                <m:r>
                                  <w:rPr>
                                    <w:rFonts w:ascii="Cambria Math" w:eastAsia="Aptos" w:hAnsi="Cambria Math"/>
                                  </w:rPr>
                                  <m:t>i</m:t>
                                </m:r>
                              </m:sub>
                            </m:sSub>
                            <m:r>
                              <w:rPr>
                                <w:rFonts w:ascii="Cambria Math" w:eastAsia="Aptos" w:hAnsi="Cambria Math"/>
                              </w:rPr>
                              <m:t>)</m:t>
                            </m:r>
                          </m:e>
                          <m:sup>
                            <m:r>
                              <w:rPr>
                                <w:rFonts w:ascii="Cambria Math" w:eastAsia="Aptos" w:hAnsi="Cambria Math"/>
                              </w:rPr>
                              <m:t>2</m:t>
                            </m:r>
                          </m:sup>
                        </m:sSup>
                      </m:e>
                    </m:nary>
                  </m:den>
                </m:f>
              </m:oMath>
            </m:oMathPara>
          </w:p>
        </w:tc>
      </w:tr>
    </w:tbl>
    <w:p w14:paraId="120E3226" w14:textId="77777777" w:rsidR="006055E0" w:rsidRPr="00657488" w:rsidRDefault="006055E0" w:rsidP="006055E0"/>
    <w:p w14:paraId="45A6A1A3" w14:textId="77777777" w:rsidR="00A4066B" w:rsidRPr="001F5353" w:rsidRDefault="00A4066B" w:rsidP="001F5353">
      <w:r w:rsidRPr="001F5353">
        <w:t>These metrics provide complementary perspectives on prediction accuracy, error magnitude, and model fitting capability.</w:t>
      </w:r>
    </w:p>
    <w:p w14:paraId="2493CF25" w14:textId="77777777" w:rsidR="001F5353" w:rsidRPr="001F5353" w:rsidRDefault="001F5353" w:rsidP="001F5353">
      <w:pPr>
        <w:pStyle w:val="heading10"/>
      </w:pPr>
      <w:r w:rsidRPr="001F5353">
        <w:t>4</w:t>
      </w:r>
      <w:r>
        <w:t xml:space="preserve">    </w:t>
      </w:r>
      <w:r w:rsidRPr="001F5353">
        <w:t>Experiments</w:t>
      </w:r>
    </w:p>
    <w:p w14:paraId="557E8B9E" w14:textId="77777777" w:rsidR="001F5353" w:rsidRDefault="001F5353" w:rsidP="001F5353">
      <w:pPr>
        <w:pStyle w:val="p1a"/>
      </w:pPr>
      <w:r w:rsidRPr="001F5353">
        <w:t>The dataset used in this study consists of daily Bitcoin closing prices obtained from Yahoo Finance. The time series exhibits strong volatility, nonlinear dynamics, and non-stationary behavior, making it a suitable benchmark for evaluating forecasting models.</w:t>
      </w:r>
    </w:p>
    <w:p w14:paraId="72BF09AE" w14:textId="77777777" w:rsidR="001E2D85" w:rsidRDefault="001E2D85" w:rsidP="001E2D85">
      <w:r w:rsidRPr="001F5353">
        <w:t xml:space="preserve">As shown in </w:t>
      </w:r>
      <w:r w:rsidRPr="001F5353">
        <w:fldChar w:fldCharType="begin"/>
      </w:r>
      <w:r w:rsidRPr="001F5353">
        <w:instrText xml:space="preserve"> REF _Ref224813353 \h  \* MERGEFORMAT </w:instrText>
      </w:r>
      <w:r w:rsidRPr="001F5353">
        <w:fldChar w:fldCharType="separate"/>
      </w:r>
      <w:r w:rsidRPr="001F5353">
        <w:t>Fig. 3</w:t>
      </w:r>
      <w:r w:rsidRPr="001F5353">
        <w:fldChar w:fldCharType="end"/>
      </w:r>
      <w:r w:rsidRPr="001F5353">
        <w:t>, the Bitcoin price series contains multiple growth cycles and abrupt fluctuations. These characteristics highlight the presence of mixed-frequency components, including short-term noise and long-term trends. Such complexity motivates the use of decomposition-based approaches to improve prediction performance. The proposed EMD-GRU model is evaluated against a baseline GRU model trained directly on the original Bitcoin price series.</w:t>
      </w:r>
    </w:p>
    <w:p w14:paraId="25E35DE3" w14:textId="77777777" w:rsidR="001E2D85" w:rsidRPr="001E2D85" w:rsidRDefault="001E2D85" w:rsidP="001E2D85">
      <w:pPr>
        <w:rPr>
          <w:rFonts w:eastAsia="Palatino Linotype"/>
        </w:rPr>
      </w:pPr>
    </w:p>
    <w:p w14:paraId="1E9582BE" w14:textId="26FB9B85" w:rsidR="001F5353" w:rsidRDefault="005D4B4A" w:rsidP="00975607">
      <w:pPr>
        <w:keepNext/>
        <w:spacing w:before="120"/>
        <w:ind w:firstLine="0"/>
      </w:pPr>
      <w:r w:rsidRPr="001F5353">
        <w:rPr>
          <w:rFonts w:ascii="Times New Roman" w:eastAsia="Palatino Linotype" w:hAnsi="Times New Roman"/>
          <w:noProof/>
          <w:sz w:val="24"/>
          <w:szCs w:val="24"/>
        </w:rPr>
        <w:lastRenderedPageBreak/>
        <w:drawing>
          <wp:inline distT="0" distB="0" distL="0" distR="0" wp14:anchorId="77FBA04B" wp14:editId="30BD6F0D">
            <wp:extent cx="4276090" cy="1118235"/>
            <wp:effectExtent l="0" t="0" r="0" b="0"/>
            <wp:docPr id="3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276090" cy="1118235"/>
                    </a:xfrm>
                    <a:prstGeom prst="rect">
                      <a:avLst/>
                    </a:prstGeom>
                    <a:noFill/>
                    <a:ln>
                      <a:noFill/>
                    </a:ln>
                  </pic:spPr>
                </pic:pic>
              </a:graphicData>
            </a:graphic>
          </wp:inline>
        </w:drawing>
      </w:r>
    </w:p>
    <w:p w14:paraId="68C56C1E" w14:textId="77777777" w:rsidR="001F5353" w:rsidRPr="001F5353" w:rsidRDefault="001F5353" w:rsidP="001F5353">
      <w:pPr>
        <w:pStyle w:val="figurelegend"/>
      </w:pPr>
      <w:bookmarkStart w:id="9" w:name="_Ref224813353"/>
      <w:r w:rsidRPr="001F5353">
        <w:rPr>
          <w:b/>
          <w:bCs/>
        </w:rPr>
        <w:t xml:space="preserve">Fig. </w:t>
      </w:r>
      <w:r w:rsidRPr="001F5353">
        <w:rPr>
          <w:b/>
          <w:bCs/>
        </w:rPr>
        <w:fldChar w:fldCharType="begin"/>
      </w:r>
      <w:r w:rsidRPr="001F5353">
        <w:rPr>
          <w:b/>
          <w:bCs/>
        </w:rPr>
        <w:instrText xml:space="preserve"> SEQ Figure \* ARABIC </w:instrText>
      </w:r>
      <w:r w:rsidRPr="001F5353">
        <w:rPr>
          <w:b/>
          <w:bCs/>
        </w:rPr>
        <w:fldChar w:fldCharType="separate"/>
      </w:r>
      <w:r w:rsidRPr="001F5353">
        <w:rPr>
          <w:b/>
          <w:bCs/>
        </w:rPr>
        <w:t>3</w:t>
      </w:r>
      <w:r w:rsidRPr="001F5353">
        <w:rPr>
          <w:b/>
          <w:bCs/>
        </w:rPr>
        <w:fldChar w:fldCharType="end"/>
      </w:r>
      <w:bookmarkEnd w:id="9"/>
      <w:r w:rsidRPr="001F5353">
        <w:rPr>
          <w:b/>
          <w:bCs/>
        </w:rPr>
        <w:t>.</w:t>
      </w:r>
      <w:r w:rsidRPr="001F5353">
        <w:t xml:space="preserve"> Daily Bitcoin closing price collected from Yahoo Finance</w:t>
      </w:r>
    </w:p>
    <w:p w14:paraId="78D1A478" w14:textId="77777777" w:rsidR="00840153" w:rsidRPr="001F5353" w:rsidRDefault="00840153" w:rsidP="00840153">
      <w:r w:rsidRPr="001F5353">
        <w:t xml:space="preserve">As shown in </w:t>
      </w:r>
      <w:r w:rsidRPr="001F5353">
        <w:fldChar w:fldCharType="begin"/>
      </w:r>
      <w:r w:rsidRPr="001F5353">
        <w:instrText xml:space="preserve"> REF _Ref224826687 \h  \* MERGEFORMAT </w:instrText>
      </w:r>
      <w:r w:rsidRPr="001F5353">
        <w:fldChar w:fldCharType="separate"/>
      </w:r>
      <w:r w:rsidRPr="001F5353">
        <w:t>Fig. 4</w:t>
      </w:r>
      <w:r w:rsidRPr="001F5353">
        <w:fldChar w:fldCharType="end"/>
      </w:r>
      <w:r w:rsidRPr="001F5353">
        <w:t>, the EMD procedure separates the original Bitcoin price series into nine IMFs with distinct temporal scales. The first three components mainly capture high-frequency volatility and local shocks, IMF4–IMF6 reflect medium-term oscillatory movements, whereas IMF7–IMF9 represent low-frequency trend dynamics. This result provides empirical support for the proposed EMD-GRU design, since the decomposition converts a single heterogeneous series into simpler sub-series that can be modeled more effectively by GRU before reconstruction.</w:t>
      </w:r>
    </w:p>
    <w:p w14:paraId="1D9F8D2D" w14:textId="77777777" w:rsidR="00840153" w:rsidRPr="001F5353" w:rsidRDefault="00840153" w:rsidP="00840153">
      <w:r w:rsidRPr="001F5353">
        <w:t>Based on this decomposition, the forecasting experiment compares the baseline GRU trained on the raw series with the proposed EMD-GRU trained on the decomposed components under the same optimization settings.</w:t>
      </w:r>
    </w:p>
    <w:p w14:paraId="0CF7BB50" w14:textId="77777777" w:rsidR="00840153" w:rsidRPr="001F5353" w:rsidRDefault="00840153" w:rsidP="00840153">
      <w:r w:rsidRPr="001F5353">
        <w:t>The GRU architecture consists of two recurrent layers with 128 hidden units, followed by dropout layers and a fully connected output layer. The models are trained using the Adam optimizer with a maximum of 200 epochs and a batch size of 32. Early stopping is applied with a patience of 20 epochs based on validation loss, and 10% of the training data is used for validation. For both models, the same preprocessing pipeline and training configuration are applied to ensure a fair comparison.</w:t>
      </w:r>
    </w:p>
    <w:p w14:paraId="16D995E0" w14:textId="77777777" w:rsidR="001E2D85" w:rsidRDefault="001E2D85" w:rsidP="001E2D85">
      <w:pPr>
        <w:pStyle w:val="tabletitle"/>
        <w:spacing w:after="240"/>
        <w:rPr>
          <w:szCs w:val="18"/>
          <w:lang w:val="en-US"/>
        </w:rPr>
      </w:pPr>
      <w:bookmarkStart w:id="10" w:name="_Ref224813694"/>
      <w:r w:rsidRPr="001F5353">
        <w:rPr>
          <w:b/>
          <w:bCs/>
          <w:szCs w:val="18"/>
          <w:lang w:val="en-US"/>
        </w:rPr>
        <w:t xml:space="preserve">Table </w:t>
      </w:r>
      <w:r w:rsidRPr="001F5353">
        <w:rPr>
          <w:b/>
          <w:bCs/>
          <w:szCs w:val="18"/>
          <w:lang w:val="en-US"/>
        </w:rPr>
        <w:fldChar w:fldCharType="begin"/>
      </w:r>
      <w:r w:rsidRPr="001F5353">
        <w:rPr>
          <w:b/>
          <w:bCs/>
          <w:szCs w:val="18"/>
          <w:lang w:val="en-US"/>
        </w:rPr>
        <w:instrText xml:space="preserve"> SEQ Table \* ARABIC </w:instrText>
      </w:r>
      <w:r w:rsidRPr="001F5353">
        <w:rPr>
          <w:b/>
          <w:bCs/>
          <w:szCs w:val="18"/>
          <w:lang w:val="en-US"/>
        </w:rPr>
        <w:fldChar w:fldCharType="separate"/>
      </w:r>
      <w:r w:rsidRPr="001F5353">
        <w:rPr>
          <w:b/>
          <w:bCs/>
          <w:szCs w:val="18"/>
          <w:lang w:val="en-US"/>
        </w:rPr>
        <w:t>2</w:t>
      </w:r>
      <w:r w:rsidRPr="001F5353">
        <w:rPr>
          <w:b/>
          <w:bCs/>
          <w:szCs w:val="18"/>
          <w:lang w:val="en-US"/>
        </w:rPr>
        <w:fldChar w:fldCharType="end"/>
      </w:r>
      <w:bookmarkEnd w:id="10"/>
      <w:r w:rsidRPr="001F5353">
        <w:rPr>
          <w:b/>
          <w:bCs/>
          <w:szCs w:val="18"/>
          <w:lang w:val="en-US"/>
        </w:rPr>
        <w:t>.</w:t>
      </w:r>
      <w:r w:rsidRPr="001F5353">
        <w:rPr>
          <w:szCs w:val="18"/>
          <w:lang w:val="en-US"/>
        </w:rPr>
        <w:t xml:space="preserve"> Performance comparison between GRU and EMD-GRU models.</w:t>
      </w:r>
    </w:p>
    <w:tbl>
      <w:tblPr>
        <w:tblW w:w="6783" w:type="dxa"/>
        <w:jc w:val="center"/>
        <w:tblLayout w:type="fixed"/>
        <w:tblCellMar>
          <w:left w:w="70" w:type="dxa"/>
          <w:right w:w="70" w:type="dxa"/>
        </w:tblCellMar>
        <w:tblLook w:val="0000" w:firstRow="0" w:lastRow="0" w:firstColumn="0" w:lastColumn="0" w:noHBand="0" w:noVBand="0"/>
      </w:tblPr>
      <w:tblGrid>
        <w:gridCol w:w="1130"/>
        <w:gridCol w:w="1131"/>
        <w:gridCol w:w="1130"/>
        <w:gridCol w:w="1131"/>
        <w:gridCol w:w="1130"/>
        <w:gridCol w:w="1131"/>
      </w:tblGrid>
      <w:tr w:rsidR="001E2D85" w:rsidRPr="009A3755" w14:paraId="6E1FB6A5" w14:textId="77777777">
        <w:trPr>
          <w:jc w:val="center"/>
        </w:trPr>
        <w:tc>
          <w:tcPr>
            <w:tcW w:w="1130" w:type="dxa"/>
            <w:tcBorders>
              <w:top w:val="single" w:sz="12" w:space="0" w:color="000000"/>
              <w:bottom w:val="single" w:sz="6" w:space="0" w:color="000000"/>
            </w:tcBorders>
          </w:tcPr>
          <w:p w14:paraId="3457737D" w14:textId="77777777" w:rsidR="001E2D85" w:rsidRPr="009A3755" w:rsidRDefault="001E2D85">
            <w:pPr>
              <w:ind w:firstLine="0"/>
              <w:rPr>
                <w:sz w:val="18"/>
                <w:szCs w:val="18"/>
              </w:rPr>
            </w:pPr>
            <w:r w:rsidRPr="00DE1E30">
              <w:t>Model</w:t>
            </w:r>
          </w:p>
        </w:tc>
        <w:tc>
          <w:tcPr>
            <w:tcW w:w="1131" w:type="dxa"/>
            <w:tcBorders>
              <w:top w:val="single" w:sz="12" w:space="0" w:color="000000"/>
              <w:bottom w:val="single" w:sz="6" w:space="0" w:color="000000"/>
            </w:tcBorders>
          </w:tcPr>
          <w:p w14:paraId="19F65655" w14:textId="77777777" w:rsidR="001E2D85" w:rsidRPr="009A3755" w:rsidRDefault="001E2D85">
            <w:pPr>
              <w:ind w:firstLine="0"/>
              <w:rPr>
                <w:sz w:val="18"/>
                <w:szCs w:val="18"/>
              </w:rPr>
            </w:pPr>
            <w:r w:rsidRPr="00DE1E30">
              <w:t>MSE</w:t>
            </w:r>
          </w:p>
        </w:tc>
        <w:tc>
          <w:tcPr>
            <w:tcW w:w="1130" w:type="dxa"/>
            <w:tcBorders>
              <w:top w:val="single" w:sz="12" w:space="0" w:color="000000"/>
              <w:bottom w:val="single" w:sz="6" w:space="0" w:color="000000"/>
            </w:tcBorders>
          </w:tcPr>
          <w:p w14:paraId="1A5ABF24" w14:textId="77777777" w:rsidR="001E2D85" w:rsidRPr="006055E0" w:rsidRDefault="001E2D85">
            <w:pPr>
              <w:ind w:firstLine="0"/>
              <w:rPr>
                <w:sz w:val="18"/>
                <w:szCs w:val="18"/>
              </w:rPr>
            </w:pPr>
            <w:r w:rsidRPr="00DE1E30">
              <w:t>MAE</w:t>
            </w:r>
          </w:p>
        </w:tc>
        <w:tc>
          <w:tcPr>
            <w:tcW w:w="1131" w:type="dxa"/>
            <w:tcBorders>
              <w:top w:val="single" w:sz="12" w:space="0" w:color="000000"/>
              <w:bottom w:val="single" w:sz="6" w:space="0" w:color="000000"/>
            </w:tcBorders>
          </w:tcPr>
          <w:p w14:paraId="26638DC3" w14:textId="77777777" w:rsidR="001E2D85" w:rsidRPr="006055E0" w:rsidRDefault="001E2D85">
            <w:pPr>
              <w:ind w:firstLine="0"/>
              <w:rPr>
                <w:sz w:val="18"/>
                <w:szCs w:val="18"/>
              </w:rPr>
            </w:pPr>
            <w:r w:rsidRPr="00DE1E30">
              <w:t>RMSE</w:t>
            </w:r>
          </w:p>
        </w:tc>
        <w:tc>
          <w:tcPr>
            <w:tcW w:w="1130" w:type="dxa"/>
            <w:tcBorders>
              <w:top w:val="single" w:sz="12" w:space="0" w:color="000000"/>
              <w:bottom w:val="single" w:sz="6" w:space="0" w:color="000000"/>
            </w:tcBorders>
          </w:tcPr>
          <w:p w14:paraId="544248D5" w14:textId="77777777" w:rsidR="001E2D85" w:rsidRPr="006055E0" w:rsidRDefault="001E2D85">
            <w:pPr>
              <w:ind w:firstLine="0"/>
              <w:rPr>
                <w:sz w:val="18"/>
                <w:szCs w:val="18"/>
              </w:rPr>
            </w:pPr>
            <w:r w:rsidRPr="00DE1E30">
              <w:t>MAPE</w:t>
            </w:r>
            <w:r>
              <w:t xml:space="preserve"> </w:t>
            </w:r>
            <w:r w:rsidRPr="00DE1E30">
              <w:t>(%)</w:t>
            </w:r>
          </w:p>
        </w:tc>
        <w:tc>
          <w:tcPr>
            <w:tcW w:w="1131" w:type="dxa"/>
            <w:tcBorders>
              <w:top w:val="single" w:sz="12" w:space="0" w:color="000000"/>
              <w:bottom w:val="single" w:sz="6" w:space="0" w:color="000000"/>
            </w:tcBorders>
          </w:tcPr>
          <w:p w14:paraId="0DF0E8CD" w14:textId="77777777" w:rsidR="001E2D85" w:rsidRPr="00DE1E30" w:rsidRDefault="001E2D85">
            <w:pPr>
              <w:ind w:firstLine="0"/>
            </w:pPr>
            <w:r w:rsidRPr="006055E0">
              <w:t>R</w:t>
            </w:r>
            <w:r w:rsidRPr="006055E0">
              <w:rPr>
                <w:vertAlign w:val="superscript"/>
              </w:rPr>
              <w:t>2</w:t>
            </w:r>
          </w:p>
        </w:tc>
      </w:tr>
      <w:tr w:rsidR="001E2D85" w:rsidRPr="009A3755" w14:paraId="1CD92E47" w14:textId="77777777">
        <w:trPr>
          <w:jc w:val="center"/>
        </w:trPr>
        <w:tc>
          <w:tcPr>
            <w:tcW w:w="1130" w:type="dxa"/>
          </w:tcPr>
          <w:p w14:paraId="51AEBE4B" w14:textId="77777777" w:rsidR="001E2D85" w:rsidRPr="009A3755" w:rsidRDefault="001E2D85">
            <w:pPr>
              <w:ind w:firstLine="0"/>
              <w:rPr>
                <w:sz w:val="18"/>
                <w:szCs w:val="18"/>
              </w:rPr>
            </w:pPr>
            <w:r w:rsidRPr="008527BD">
              <w:t>GRU</w:t>
            </w:r>
          </w:p>
        </w:tc>
        <w:tc>
          <w:tcPr>
            <w:tcW w:w="1131" w:type="dxa"/>
          </w:tcPr>
          <w:p w14:paraId="37C721E2" w14:textId="77777777" w:rsidR="001E2D85" w:rsidRPr="006055E0" w:rsidRDefault="001E2D85">
            <w:pPr>
              <w:ind w:firstLine="0"/>
              <w:rPr>
                <w:sz w:val="18"/>
                <w:szCs w:val="18"/>
              </w:rPr>
            </w:pPr>
            <w:r w:rsidRPr="008527BD">
              <w:t>9.06 x 107</w:t>
            </w:r>
          </w:p>
        </w:tc>
        <w:tc>
          <w:tcPr>
            <w:tcW w:w="1130" w:type="dxa"/>
          </w:tcPr>
          <w:p w14:paraId="6D6B9E62" w14:textId="77777777" w:rsidR="001E2D85" w:rsidRPr="006055E0" w:rsidRDefault="001E2D85">
            <w:pPr>
              <w:ind w:firstLine="0"/>
              <w:rPr>
                <w:sz w:val="18"/>
                <w:szCs w:val="18"/>
              </w:rPr>
            </w:pPr>
            <w:r w:rsidRPr="008527BD">
              <w:t>6808.97</w:t>
            </w:r>
          </w:p>
        </w:tc>
        <w:tc>
          <w:tcPr>
            <w:tcW w:w="1131" w:type="dxa"/>
          </w:tcPr>
          <w:p w14:paraId="54A81A26" w14:textId="77777777" w:rsidR="001E2D85" w:rsidRPr="006055E0" w:rsidRDefault="001E2D85">
            <w:pPr>
              <w:ind w:firstLine="0"/>
              <w:rPr>
                <w:sz w:val="18"/>
                <w:szCs w:val="18"/>
              </w:rPr>
            </w:pPr>
            <w:r w:rsidRPr="008527BD">
              <w:t>9519.78</w:t>
            </w:r>
          </w:p>
        </w:tc>
        <w:tc>
          <w:tcPr>
            <w:tcW w:w="1130" w:type="dxa"/>
          </w:tcPr>
          <w:p w14:paraId="50000A15" w14:textId="77777777" w:rsidR="001E2D85" w:rsidRPr="006055E0" w:rsidRDefault="001E2D85">
            <w:pPr>
              <w:ind w:firstLine="0"/>
              <w:rPr>
                <w:sz w:val="18"/>
                <w:szCs w:val="18"/>
              </w:rPr>
            </w:pPr>
            <w:r w:rsidRPr="008527BD">
              <w:t>7.33</w:t>
            </w:r>
          </w:p>
        </w:tc>
        <w:tc>
          <w:tcPr>
            <w:tcW w:w="1131" w:type="dxa"/>
          </w:tcPr>
          <w:p w14:paraId="2C8F9F26" w14:textId="77777777" w:rsidR="001E2D85" w:rsidRPr="006055E0" w:rsidRDefault="001E2D85">
            <w:pPr>
              <w:ind w:firstLine="0"/>
              <w:rPr>
                <w:sz w:val="18"/>
                <w:szCs w:val="18"/>
              </w:rPr>
            </w:pPr>
            <w:r w:rsidRPr="008527BD">
              <w:t>0.887</w:t>
            </w:r>
          </w:p>
        </w:tc>
      </w:tr>
      <w:tr w:rsidR="001E2D85" w:rsidRPr="009A3755" w14:paraId="5C14BD29" w14:textId="77777777">
        <w:trPr>
          <w:jc w:val="center"/>
        </w:trPr>
        <w:tc>
          <w:tcPr>
            <w:tcW w:w="1130" w:type="dxa"/>
            <w:tcBorders>
              <w:bottom w:val="single" w:sz="12" w:space="0" w:color="000000"/>
            </w:tcBorders>
          </w:tcPr>
          <w:p w14:paraId="52D1197B" w14:textId="77777777" w:rsidR="001E2D85" w:rsidRPr="006055E0" w:rsidRDefault="001E2D85">
            <w:pPr>
              <w:ind w:firstLine="0"/>
              <w:rPr>
                <w:sz w:val="18"/>
                <w:szCs w:val="18"/>
              </w:rPr>
            </w:pPr>
            <w:r w:rsidRPr="008527BD">
              <w:t>EMD-GRU</w:t>
            </w:r>
          </w:p>
        </w:tc>
        <w:tc>
          <w:tcPr>
            <w:tcW w:w="1131" w:type="dxa"/>
            <w:tcBorders>
              <w:bottom w:val="single" w:sz="12" w:space="0" w:color="000000"/>
            </w:tcBorders>
          </w:tcPr>
          <w:p w14:paraId="3ACB6CA9" w14:textId="77777777" w:rsidR="001E2D85" w:rsidRPr="006055E0" w:rsidRDefault="001E2D85">
            <w:pPr>
              <w:ind w:firstLine="0"/>
              <w:rPr>
                <w:sz w:val="18"/>
                <w:szCs w:val="18"/>
              </w:rPr>
            </w:pPr>
            <w:r w:rsidRPr="008527BD">
              <w:t>2.94 x 107</w:t>
            </w:r>
          </w:p>
        </w:tc>
        <w:tc>
          <w:tcPr>
            <w:tcW w:w="1130" w:type="dxa"/>
            <w:tcBorders>
              <w:bottom w:val="single" w:sz="12" w:space="0" w:color="000000"/>
            </w:tcBorders>
          </w:tcPr>
          <w:p w14:paraId="2914553B" w14:textId="77777777" w:rsidR="001E2D85" w:rsidRPr="006055E0" w:rsidRDefault="001E2D85">
            <w:pPr>
              <w:ind w:firstLine="0"/>
              <w:rPr>
                <w:sz w:val="18"/>
                <w:szCs w:val="18"/>
              </w:rPr>
            </w:pPr>
            <w:r w:rsidRPr="008527BD">
              <w:t>4182.02</w:t>
            </w:r>
          </w:p>
        </w:tc>
        <w:tc>
          <w:tcPr>
            <w:tcW w:w="1131" w:type="dxa"/>
            <w:tcBorders>
              <w:bottom w:val="single" w:sz="12" w:space="0" w:color="000000"/>
            </w:tcBorders>
          </w:tcPr>
          <w:p w14:paraId="0C167701" w14:textId="77777777" w:rsidR="001E2D85" w:rsidRPr="006055E0" w:rsidRDefault="001E2D85">
            <w:pPr>
              <w:ind w:firstLine="0"/>
              <w:rPr>
                <w:sz w:val="18"/>
                <w:szCs w:val="18"/>
              </w:rPr>
            </w:pPr>
            <w:r w:rsidRPr="008527BD">
              <w:t>5422.74</w:t>
            </w:r>
          </w:p>
        </w:tc>
        <w:tc>
          <w:tcPr>
            <w:tcW w:w="1130" w:type="dxa"/>
            <w:tcBorders>
              <w:bottom w:val="single" w:sz="12" w:space="0" w:color="000000"/>
            </w:tcBorders>
          </w:tcPr>
          <w:p w14:paraId="54E0082D" w14:textId="77777777" w:rsidR="001E2D85" w:rsidRPr="006055E0" w:rsidRDefault="001E2D85">
            <w:pPr>
              <w:ind w:firstLine="0"/>
              <w:rPr>
                <w:sz w:val="18"/>
                <w:szCs w:val="18"/>
              </w:rPr>
            </w:pPr>
            <w:r w:rsidRPr="008527BD">
              <w:t>5.03</w:t>
            </w:r>
          </w:p>
        </w:tc>
        <w:tc>
          <w:tcPr>
            <w:tcW w:w="1131" w:type="dxa"/>
            <w:tcBorders>
              <w:bottom w:val="single" w:sz="12" w:space="0" w:color="000000"/>
            </w:tcBorders>
          </w:tcPr>
          <w:p w14:paraId="31A683A2" w14:textId="77777777" w:rsidR="001E2D85" w:rsidRPr="006055E0" w:rsidRDefault="001E2D85">
            <w:pPr>
              <w:ind w:firstLine="0"/>
              <w:rPr>
                <w:sz w:val="18"/>
                <w:szCs w:val="18"/>
              </w:rPr>
            </w:pPr>
            <w:r w:rsidRPr="008527BD">
              <w:t>0.963</w:t>
            </w:r>
          </w:p>
        </w:tc>
      </w:tr>
    </w:tbl>
    <w:p w14:paraId="22A9A989" w14:textId="77777777" w:rsidR="001E2D85" w:rsidRPr="006055E0" w:rsidRDefault="001E2D85" w:rsidP="001E2D85"/>
    <w:p w14:paraId="61D9A5DD" w14:textId="77777777" w:rsidR="001E2D85" w:rsidRPr="001F5353" w:rsidRDefault="001E2D85" w:rsidP="001E2D85">
      <w:r w:rsidRPr="001F5353">
        <w:t xml:space="preserve">The results in </w:t>
      </w:r>
      <w:r w:rsidRPr="001F5353">
        <w:fldChar w:fldCharType="begin"/>
      </w:r>
      <w:r w:rsidRPr="001F5353">
        <w:instrText xml:space="preserve"> REF _Ref224813694 \h  \* MERGEFORMAT </w:instrText>
      </w:r>
      <w:r w:rsidRPr="001F5353">
        <w:fldChar w:fldCharType="separate"/>
      </w:r>
      <w:r w:rsidRPr="001F5353">
        <w:t>Table 2</w:t>
      </w:r>
      <w:r w:rsidRPr="001F5353">
        <w:fldChar w:fldCharType="end"/>
      </w:r>
      <w:r w:rsidRPr="001F5353">
        <w:t xml:space="preserve"> demonstrate that the proposed EMD-GRU model consistently outperforms the baseline GRU across all evaluation metrics.</w:t>
      </w:r>
    </w:p>
    <w:p w14:paraId="75BCF8DB" w14:textId="77777777" w:rsidR="001E2D85" w:rsidRDefault="001E2D85" w:rsidP="001E2D85">
      <w:r w:rsidRPr="001F5353">
        <w:t>Specifically, the EMD-GRU model reduces RMSE from 9519.78 to 5422.74, corresponding to an improvement of approximately 43%. Similarly, MAE decreases from 6808.97 to 4182.02, and MAPE is reduced from 7.33% to 5.03%. In addition, the R² increases from 0.887 to 0.963, indicating a significantly better fit to the observed data. These results confirm that decomposition-based learning enhances the predictive capability of GRU models for complex financial time series.</w:t>
      </w:r>
    </w:p>
    <w:p w14:paraId="6DA3E723" w14:textId="0D6A325F" w:rsidR="001E2D85" w:rsidRDefault="005D4B4A" w:rsidP="001E2D85">
      <w:pPr>
        <w:rPr>
          <w:noProof/>
        </w:rPr>
      </w:pPr>
      <w:r w:rsidRPr="00556B0F">
        <w:rPr>
          <w:noProof/>
        </w:rPr>
        <w:lastRenderedPageBreak/>
        <w:drawing>
          <wp:inline distT="0" distB="0" distL="0" distR="0" wp14:anchorId="0B415450" wp14:editId="36A6BAD3">
            <wp:extent cx="3363636" cy="5703083"/>
            <wp:effectExtent l="0" t="0" r="8255" b="0"/>
            <wp:docPr id="35"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0" cstate="print">
                      <a:extLst>
                        <a:ext uri="{28A0092B-C50C-407E-A947-70E740481C1C}">
                          <a14:useLocalDpi xmlns:a14="http://schemas.microsoft.com/office/drawing/2010/main" val="0"/>
                        </a:ext>
                      </a:extLst>
                    </a:blip>
                    <a:srcRect t="3920"/>
                    <a:stretch>
                      <a:fillRect/>
                    </a:stretch>
                  </pic:blipFill>
                  <pic:spPr bwMode="auto">
                    <a:xfrm>
                      <a:off x="0" y="0"/>
                      <a:ext cx="3370676" cy="5715019"/>
                    </a:xfrm>
                    <a:prstGeom prst="rect">
                      <a:avLst/>
                    </a:prstGeom>
                    <a:noFill/>
                    <a:ln>
                      <a:noFill/>
                    </a:ln>
                  </pic:spPr>
                </pic:pic>
              </a:graphicData>
            </a:graphic>
          </wp:inline>
        </w:drawing>
      </w:r>
      <w:bookmarkStart w:id="11" w:name="_Ref224826687"/>
    </w:p>
    <w:p w14:paraId="43E7140A" w14:textId="77777777" w:rsidR="001F5353" w:rsidRDefault="001F5353" w:rsidP="001E2D85">
      <w:pPr>
        <w:rPr>
          <w:sz w:val="18"/>
        </w:rPr>
      </w:pPr>
      <w:r w:rsidRPr="001F5353">
        <w:rPr>
          <w:b/>
          <w:bCs/>
          <w:sz w:val="18"/>
        </w:rPr>
        <w:t xml:space="preserve">Fig. </w:t>
      </w:r>
      <w:r w:rsidRPr="001F5353">
        <w:rPr>
          <w:b/>
          <w:bCs/>
          <w:sz w:val="18"/>
        </w:rPr>
        <w:fldChar w:fldCharType="begin"/>
      </w:r>
      <w:r w:rsidRPr="001F5353">
        <w:rPr>
          <w:b/>
          <w:bCs/>
          <w:sz w:val="18"/>
        </w:rPr>
        <w:instrText xml:space="preserve"> SEQ Figure \* ARABIC </w:instrText>
      </w:r>
      <w:r w:rsidRPr="001F5353">
        <w:rPr>
          <w:b/>
          <w:bCs/>
          <w:sz w:val="18"/>
        </w:rPr>
        <w:fldChar w:fldCharType="separate"/>
      </w:r>
      <w:r w:rsidRPr="001F5353">
        <w:rPr>
          <w:b/>
          <w:bCs/>
          <w:sz w:val="18"/>
        </w:rPr>
        <w:t>4</w:t>
      </w:r>
      <w:r w:rsidRPr="001F5353">
        <w:rPr>
          <w:b/>
          <w:bCs/>
          <w:sz w:val="18"/>
        </w:rPr>
        <w:fldChar w:fldCharType="end"/>
      </w:r>
      <w:bookmarkEnd w:id="11"/>
      <w:r w:rsidRPr="001F5353">
        <w:rPr>
          <w:b/>
          <w:bCs/>
          <w:sz w:val="18"/>
        </w:rPr>
        <w:t>.</w:t>
      </w:r>
      <w:r w:rsidRPr="001F5353">
        <w:rPr>
          <w:sz w:val="18"/>
        </w:rPr>
        <w:t xml:space="preserve"> EMD decomposition of the Bitcoin closing price series into intrinsic mode functions (IMFs)</w:t>
      </w:r>
    </w:p>
    <w:p w14:paraId="12F893E2" w14:textId="77777777" w:rsidR="001E2D85" w:rsidRPr="00F27B03" w:rsidRDefault="001E2D85" w:rsidP="001E2D85">
      <w:pPr>
        <w:rPr>
          <w:rFonts w:ascii="Times New Roman" w:eastAsia="Palatino Linotype" w:hAnsi="Times New Roman"/>
          <w:sz w:val="24"/>
          <w:szCs w:val="24"/>
        </w:rPr>
      </w:pPr>
      <w:r w:rsidRPr="001F5353">
        <w:t xml:space="preserve">As illustrated in </w:t>
      </w:r>
      <w:r w:rsidRPr="001F5353">
        <w:fldChar w:fldCharType="begin"/>
      </w:r>
      <w:r w:rsidRPr="001F5353">
        <w:instrText xml:space="preserve"> REF _Ref224813870 \h  \* MERGEFORMAT </w:instrText>
      </w:r>
      <w:r w:rsidRPr="001F5353">
        <w:fldChar w:fldCharType="separate"/>
      </w:r>
      <w:r w:rsidRPr="001F5353">
        <w:t>Fig. 5</w:t>
      </w:r>
      <w:r w:rsidRPr="001F5353">
        <w:fldChar w:fldCharType="end"/>
      </w:r>
      <w:r w:rsidRPr="001F5353">
        <w:t>, the EMD-GRU model tracks the actual Bitcoin price more closely than the baseline GRU model. The GRU model exhibits noticeable lag and deviation during periods of high volatility, whereas the EMD-GRU model captures both short-term fluctuations and long-term trends more accurately. This improvement can be attributed to the decomposition step, which enables the model to learn different temporal patterns separately rather than jointly.</w:t>
      </w:r>
    </w:p>
    <w:p w14:paraId="654E0D2E" w14:textId="77777777" w:rsidR="001E2D85" w:rsidRPr="001F5353" w:rsidRDefault="001E2D85" w:rsidP="001E2D85">
      <w:pPr>
        <w:rPr>
          <w:sz w:val="18"/>
        </w:rPr>
      </w:pPr>
    </w:p>
    <w:p w14:paraId="7E5C93DF" w14:textId="39521988" w:rsidR="001F5353" w:rsidRDefault="005D4B4A" w:rsidP="00975607">
      <w:pPr>
        <w:keepNext/>
        <w:spacing w:before="120"/>
        <w:ind w:firstLine="0"/>
      </w:pPr>
      <w:r w:rsidRPr="001F5353">
        <w:rPr>
          <w:rFonts w:ascii="Times New Roman" w:eastAsia="Palatino Linotype" w:hAnsi="Times New Roman"/>
          <w:noProof/>
          <w:sz w:val="24"/>
          <w:szCs w:val="24"/>
        </w:rPr>
        <w:drawing>
          <wp:inline distT="0" distB="0" distL="0" distR="0" wp14:anchorId="58663C60" wp14:editId="03ED7083">
            <wp:extent cx="4279900" cy="1516380"/>
            <wp:effectExtent l="0" t="0" r="0" b="0"/>
            <wp:docPr id="3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279900" cy="1516380"/>
                    </a:xfrm>
                    <a:prstGeom prst="rect">
                      <a:avLst/>
                    </a:prstGeom>
                    <a:noFill/>
                    <a:ln>
                      <a:noFill/>
                    </a:ln>
                  </pic:spPr>
                </pic:pic>
              </a:graphicData>
            </a:graphic>
          </wp:inline>
        </w:drawing>
      </w:r>
    </w:p>
    <w:p w14:paraId="40A1BD02" w14:textId="77777777" w:rsidR="001F5353" w:rsidRPr="001F5353" w:rsidRDefault="001F5353" w:rsidP="001F5353">
      <w:pPr>
        <w:pStyle w:val="figurelegend"/>
      </w:pPr>
      <w:bookmarkStart w:id="12" w:name="_Ref224813870"/>
      <w:r w:rsidRPr="001F5353">
        <w:rPr>
          <w:b/>
          <w:bCs/>
        </w:rPr>
        <w:t xml:space="preserve">Fig. </w:t>
      </w:r>
      <w:r w:rsidRPr="001F5353">
        <w:rPr>
          <w:b/>
          <w:bCs/>
        </w:rPr>
        <w:fldChar w:fldCharType="begin"/>
      </w:r>
      <w:r w:rsidRPr="001F5353">
        <w:rPr>
          <w:b/>
          <w:bCs/>
        </w:rPr>
        <w:instrText xml:space="preserve"> SEQ Figure \* ARABIC </w:instrText>
      </w:r>
      <w:r w:rsidRPr="001F5353">
        <w:rPr>
          <w:b/>
          <w:bCs/>
        </w:rPr>
        <w:fldChar w:fldCharType="separate"/>
      </w:r>
      <w:r w:rsidRPr="001F5353">
        <w:rPr>
          <w:b/>
          <w:bCs/>
        </w:rPr>
        <w:t>5</w:t>
      </w:r>
      <w:r w:rsidRPr="001F5353">
        <w:rPr>
          <w:b/>
          <w:bCs/>
        </w:rPr>
        <w:fldChar w:fldCharType="end"/>
      </w:r>
      <w:bookmarkEnd w:id="12"/>
      <w:r w:rsidRPr="001F5353">
        <w:rPr>
          <w:b/>
          <w:bCs/>
        </w:rPr>
        <w:t>.</w:t>
      </w:r>
      <w:r w:rsidRPr="006E11FA">
        <w:t xml:space="preserve"> Comparison of actual Bitcoin prices and predictions from GRU and EMD-GRU models</w:t>
      </w:r>
    </w:p>
    <w:p w14:paraId="17DCDE41" w14:textId="2AC261B4" w:rsidR="001F5353" w:rsidRDefault="005D4B4A" w:rsidP="00975607">
      <w:pPr>
        <w:keepNext/>
        <w:spacing w:before="120"/>
        <w:ind w:firstLine="0"/>
        <w:jc w:val="center"/>
      </w:pPr>
      <w:r w:rsidRPr="001F5353">
        <w:rPr>
          <w:rFonts w:ascii="Times New Roman" w:eastAsia="Palatino Linotype" w:hAnsi="Times New Roman"/>
          <w:noProof/>
          <w:sz w:val="24"/>
          <w:szCs w:val="24"/>
        </w:rPr>
        <w:drawing>
          <wp:inline distT="0" distB="0" distL="0" distR="0" wp14:anchorId="7A72D2F7" wp14:editId="6D171D0D">
            <wp:extent cx="3371850" cy="1665605"/>
            <wp:effectExtent l="0" t="0" r="0" b="0"/>
            <wp:docPr id="3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371850" cy="1665605"/>
                    </a:xfrm>
                    <a:prstGeom prst="rect">
                      <a:avLst/>
                    </a:prstGeom>
                    <a:noFill/>
                    <a:ln>
                      <a:noFill/>
                    </a:ln>
                  </pic:spPr>
                </pic:pic>
              </a:graphicData>
            </a:graphic>
          </wp:inline>
        </w:drawing>
      </w:r>
    </w:p>
    <w:p w14:paraId="0F472601" w14:textId="77777777" w:rsidR="001F5353" w:rsidRPr="001F5353" w:rsidRDefault="001F5353" w:rsidP="001F5353">
      <w:pPr>
        <w:pStyle w:val="figurelegend"/>
      </w:pPr>
      <w:bookmarkStart w:id="13" w:name="_Ref224814104"/>
      <w:r w:rsidRPr="001F5353">
        <w:rPr>
          <w:b/>
          <w:bCs/>
        </w:rPr>
        <w:t xml:space="preserve">Fig. </w:t>
      </w:r>
      <w:r w:rsidRPr="001F5353">
        <w:rPr>
          <w:b/>
          <w:bCs/>
        </w:rPr>
        <w:fldChar w:fldCharType="begin"/>
      </w:r>
      <w:r w:rsidRPr="001F5353">
        <w:rPr>
          <w:b/>
          <w:bCs/>
        </w:rPr>
        <w:instrText xml:space="preserve"> SEQ Figure \* ARABIC </w:instrText>
      </w:r>
      <w:r w:rsidRPr="001F5353">
        <w:rPr>
          <w:b/>
          <w:bCs/>
        </w:rPr>
        <w:fldChar w:fldCharType="separate"/>
      </w:r>
      <w:r w:rsidRPr="001F5353">
        <w:rPr>
          <w:b/>
          <w:bCs/>
        </w:rPr>
        <w:t>6</w:t>
      </w:r>
      <w:r w:rsidRPr="001F5353">
        <w:rPr>
          <w:b/>
          <w:bCs/>
        </w:rPr>
        <w:fldChar w:fldCharType="end"/>
      </w:r>
      <w:bookmarkEnd w:id="13"/>
      <w:r w:rsidRPr="001F5353">
        <w:rPr>
          <w:b/>
          <w:bCs/>
        </w:rPr>
        <w:t>.</w:t>
      </w:r>
      <w:r w:rsidRPr="006E11FA">
        <w:t xml:space="preserve"> Training and validation loss curves of the GRU model</w:t>
      </w:r>
    </w:p>
    <w:p w14:paraId="3789A54B" w14:textId="77777777" w:rsidR="001F5353" w:rsidRPr="001F5353" w:rsidRDefault="001F5353" w:rsidP="001F5353">
      <w:r w:rsidRPr="001F5353">
        <w:t xml:space="preserve">The training process of the GRU model is shown in </w:t>
      </w:r>
      <w:r w:rsidRPr="001F5353">
        <w:fldChar w:fldCharType="begin"/>
      </w:r>
      <w:r w:rsidRPr="001F5353">
        <w:instrText xml:space="preserve"> REF _Ref224814104 \h  \* MERGEFORMAT </w:instrText>
      </w:r>
      <w:r w:rsidRPr="001F5353">
        <w:fldChar w:fldCharType="separate"/>
      </w:r>
      <w:r w:rsidRPr="001F5353">
        <w:t>Fig. 6</w:t>
      </w:r>
      <w:r w:rsidRPr="001F5353">
        <w:fldChar w:fldCharType="end"/>
      </w:r>
      <w:r w:rsidRPr="001F5353">
        <w:t xml:space="preserve">. The training loss decreases rapidly during the initial epochs and gradually stabilizes, while the validation loss remains relatively consistent. The use of early stopping prevents overfitting and ensures that the model retains the best-performing </w:t>
      </w:r>
      <w:proofErr w:type="spellStart"/>
      <w:proofErr w:type="gramStart"/>
      <w:r w:rsidRPr="001F5353">
        <w:t>weights.The</w:t>
      </w:r>
      <w:proofErr w:type="spellEnd"/>
      <w:proofErr w:type="gramEnd"/>
      <w:r w:rsidRPr="001F5353">
        <w:t xml:space="preserve"> stable convergence behavior indicates that the training process is well-controlled and that the model generalizes reasonably well to unseen data.</w:t>
      </w:r>
    </w:p>
    <w:p w14:paraId="3696F92D" w14:textId="77777777" w:rsidR="001F5353" w:rsidRPr="001F5353" w:rsidRDefault="001F5353" w:rsidP="001F5353">
      <w:r w:rsidRPr="001F5353">
        <w:t>The experimental results highlight the effectiveness of the proposed EMD-GRU framework. The improvement in forecasting performance can be explained by the ability of EMD to decompose the original signal into components with reduced complexity.</w:t>
      </w:r>
    </w:p>
    <w:p w14:paraId="58E1FF66" w14:textId="77777777" w:rsidR="001F5353" w:rsidRPr="001F5353" w:rsidRDefault="001F5353" w:rsidP="001F5353">
      <w:r w:rsidRPr="001F5353">
        <w:t>By separating high-frequency noise from low-frequency trends, the GRU models can focus on learning more structured and homogeneous patterns. This leads to improved prediction accuracy and enhanced robustness, particularly in volatile market conditions.</w:t>
      </w:r>
    </w:p>
    <w:p w14:paraId="710FD3E7" w14:textId="77777777" w:rsidR="001F5353" w:rsidRPr="001F5353" w:rsidRDefault="001F5353" w:rsidP="001F5353">
      <w:r w:rsidRPr="001F5353">
        <w:t>Furthermore, the results suggest that decomposition-based approaches are well-suited for financial time series characterized by multi-scale dynamics. The proposed framework can potentially be extended to other assets, such as stocks, commodities, and alternative cryptocurrencies.</w:t>
      </w:r>
    </w:p>
    <w:p w14:paraId="07413BAF" w14:textId="77777777" w:rsidR="001F5353" w:rsidRPr="001F5353" w:rsidRDefault="001F5353" w:rsidP="001F5353">
      <w:pPr>
        <w:pStyle w:val="heading10"/>
      </w:pPr>
      <w:r w:rsidRPr="001F5353">
        <w:lastRenderedPageBreak/>
        <w:t>5</w:t>
      </w:r>
      <w:r>
        <w:t xml:space="preserve">   </w:t>
      </w:r>
      <w:r w:rsidRPr="001F5353">
        <w:t xml:space="preserve">Conclusion </w:t>
      </w:r>
    </w:p>
    <w:p w14:paraId="6C9B584D" w14:textId="77777777" w:rsidR="00D71084" w:rsidRDefault="00D71084" w:rsidP="00D71084">
      <w:pPr>
        <w:pStyle w:val="p1a"/>
      </w:pPr>
      <w:r>
        <w:t>This study investigated Bitcoin price forecasting under nonlinear and non-stationary conditions through a hybrid EMD-GRU framework. By decomposing the original price series into intrinsic mode functions using Empirical Mode Decomposition and modeling each component separately with GRU networks, the proposed approach was able to capture multi-scale temporal patterns more effectively than a standalone GRU model.</w:t>
      </w:r>
    </w:p>
    <w:p w14:paraId="1E9776DD" w14:textId="77777777" w:rsidR="00D71084" w:rsidRDefault="00D71084" w:rsidP="00D71084">
      <w:r>
        <w:t>The experimental results obtained from daily Bitcoin price data collected from Yahoo Finance demonstrated clear improvements in predictive performance. In particular, the hybrid model reduced the RMSE from 9519.78 to 5422.74 and the MAE from 6808.97 to 4182.02, while increasing the R² from 0.887 to 0.963. These findings indicate that decomposition-based learning can significantly enhance the capacity of deep neural networks to model complex financial time series and generate more accurate forecasts.</w:t>
      </w:r>
    </w:p>
    <w:p w14:paraId="33B7BD8C" w14:textId="77777777" w:rsidR="00D71084" w:rsidRPr="001F5353" w:rsidRDefault="00D71084" w:rsidP="00D71084">
      <w:r>
        <w:t>Despite these encouraging results, several limitations should be acknowledged. The analysis was based solely on historical price data and did not consider exogenous factors such as trading volume, macroeconomic conditions, or market sentiment. Moreover, the study focused on a single cryptocurrency, which limits the generalizability of the findings across other financial assets. Future work may therefore incorporate additional explanatory variables, examine broader classes of cryptocurrencies or financial instruments, and evaluate alternative decomposition techniques such as CEEMDAN or variational mode decomposition, as well as more recent deep learning architectures, including Transformer-based models.</w:t>
      </w:r>
    </w:p>
    <w:p w14:paraId="2AEF85B8" w14:textId="77777777" w:rsidR="0095068A" w:rsidRPr="009A3755" w:rsidRDefault="0095068A" w:rsidP="00B65EEC">
      <w:pPr>
        <w:pStyle w:val="heading10"/>
        <w:spacing w:before="240"/>
      </w:pPr>
      <w:r w:rsidRPr="009A3755">
        <w:t>References</w:t>
      </w:r>
    </w:p>
    <w:p w14:paraId="479B7B5E" w14:textId="1BDBF467" w:rsidR="005D4B4A" w:rsidRPr="002A7A03" w:rsidRDefault="005D4B4A" w:rsidP="002A7A03">
      <w:pPr>
        <w:pStyle w:val="reference"/>
        <w:numPr>
          <w:ilvl w:val="0"/>
          <w:numId w:val="10"/>
        </w:numPr>
        <w:ind w:left="270" w:hanging="270"/>
      </w:pPr>
      <w:r w:rsidRPr="002A7A03">
        <w:fldChar w:fldCharType="begin"/>
      </w:r>
      <w:r w:rsidRPr="002A7A03">
        <w:instrText xml:space="preserve"> ADDIN ZOTERO_BIBL {"uncited":[],"omitted":[],"custom":[]} CSL_BIBLIOGRAPHY </w:instrText>
      </w:r>
      <w:r w:rsidRPr="002A7A03">
        <w:fldChar w:fldCharType="separate"/>
      </w:r>
      <w:r w:rsidRPr="002A7A03">
        <w:t>Z. Tong, Z. Chen, and C. Zhu, “Nonlinear dynamics analysis of cryptocurrency price fluctuations based on Bitcoin,” Finance Res. Lett., vol. 47, p. 102803, Jun. 2022, doi: 10.1016/j.frl.2022.102803.</w:t>
      </w:r>
    </w:p>
    <w:p w14:paraId="32D895EC" w14:textId="6A43821C" w:rsidR="005D4B4A" w:rsidRPr="002A7A03" w:rsidRDefault="005D4B4A" w:rsidP="002A7A03">
      <w:pPr>
        <w:pStyle w:val="reference"/>
        <w:numPr>
          <w:ilvl w:val="0"/>
          <w:numId w:val="10"/>
        </w:numPr>
        <w:ind w:left="270" w:hanging="270"/>
      </w:pPr>
      <w:r w:rsidRPr="002A7A03">
        <w:t>H. Liu and J. Shi, “Applying ARMA–GARCH approaches to forecasting short-term electricity prices,” Energy Econ., vol. 37, pp. 152–166, May 2013, doi: 10.1016/j.eneco.2013.02.006.</w:t>
      </w:r>
    </w:p>
    <w:p w14:paraId="39FC513B" w14:textId="47FAC78F" w:rsidR="005D4B4A" w:rsidRPr="002A7A03" w:rsidRDefault="005D4B4A" w:rsidP="002A7A03">
      <w:pPr>
        <w:pStyle w:val="reference"/>
        <w:numPr>
          <w:ilvl w:val="0"/>
          <w:numId w:val="10"/>
        </w:numPr>
        <w:ind w:left="270" w:hanging="270"/>
      </w:pPr>
      <w:r w:rsidRPr="002A7A03">
        <w:t>T. Kim, H. Jo, W. Choi, and B.-G. Jang, “Bitcoin Price Direction Forecasting and Market Variables,” J. Futur. Mark., vol. 45, no. 10, pp. 1579–1600, 2025, doi: 10.1002/fut.70010.</w:t>
      </w:r>
    </w:p>
    <w:p w14:paraId="1FC51DC0" w14:textId="78528C16" w:rsidR="005D4B4A" w:rsidRPr="002A7A03" w:rsidRDefault="005D4B4A" w:rsidP="002A7A03">
      <w:pPr>
        <w:pStyle w:val="reference"/>
        <w:numPr>
          <w:ilvl w:val="0"/>
          <w:numId w:val="10"/>
        </w:numPr>
        <w:ind w:left="270" w:hanging="270"/>
      </w:pPr>
      <w:r w:rsidRPr="002A7A03">
        <w:t>A. A. Adekunle, Issouf. Fofana, P. Picher, E. M. Rodriguez-Celis, O. H. Arroyo-Fernandez, and R. Zemouri, “Optimizing deep learning predictive models: A comprehensive review of RNN and its variant architectures,” Appl. Soft Comput., vol. 185, p. 114015, Dec. 2025, doi: 10.1016/j.asoc.2025.114015.</w:t>
      </w:r>
    </w:p>
    <w:p w14:paraId="68131601" w14:textId="38C838C1" w:rsidR="005D4B4A" w:rsidRPr="002A7A03" w:rsidRDefault="005D4B4A" w:rsidP="002A7A03">
      <w:pPr>
        <w:pStyle w:val="reference"/>
        <w:numPr>
          <w:ilvl w:val="0"/>
          <w:numId w:val="10"/>
        </w:numPr>
        <w:ind w:left="270" w:hanging="270"/>
      </w:pPr>
      <w:r w:rsidRPr="002A7A03">
        <w:t>H. Jiang et al., “A hybrid EMD-GRU model for pressure prediction in air cyclone centrifugal classifiers,” Adv. Powder Technol., vol. 36, no. 1, p. 104743, Jan. 2025, doi: 10.1016/j.apt.2024.104743.</w:t>
      </w:r>
    </w:p>
    <w:p w14:paraId="3F401A9A" w14:textId="2487E3D6" w:rsidR="005D4B4A" w:rsidRPr="002A7A03" w:rsidRDefault="005D4B4A" w:rsidP="002A7A03">
      <w:pPr>
        <w:pStyle w:val="reference"/>
        <w:numPr>
          <w:ilvl w:val="0"/>
          <w:numId w:val="10"/>
        </w:numPr>
        <w:ind w:left="270" w:hanging="270"/>
      </w:pPr>
      <w:r w:rsidRPr="002A7A03">
        <w:t>J. Zhang et al., “Serial-EMD: Fast empirical mode decomposition method for multi-dimensional signals based on serialization,” Inf. Sci., vol. 581, pp. 215–232, Dec. 2021, doi: 10.1016/j.ins.2021.09.033.</w:t>
      </w:r>
    </w:p>
    <w:p w14:paraId="1949518D" w14:textId="68243F7A" w:rsidR="005D4B4A" w:rsidRPr="002A7A03" w:rsidRDefault="005D4B4A" w:rsidP="002A7A03">
      <w:pPr>
        <w:pStyle w:val="reference"/>
        <w:numPr>
          <w:ilvl w:val="0"/>
          <w:numId w:val="10"/>
        </w:numPr>
        <w:ind w:left="270" w:hanging="270"/>
      </w:pPr>
      <w:r w:rsidRPr="002A7A03">
        <w:t>O. B. Sezer, M. U. Gudelek, and A. M. Ozbayoglu, “Financial time series forecasting with deep learning : A systematic literature review: 2005–2019,” Appl. Soft Comput., vol. 90, p. 106181, May 2020, doi: 10.1016/j.asoc.2020.106181.</w:t>
      </w:r>
    </w:p>
    <w:p w14:paraId="2CCA4C44" w14:textId="782FAF56" w:rsidR="005D4B4A" w:rsidRPr="002A7A03" w:rsidRDefault="005D4B4A" w:rsidP="002A7A03">
      <w:pPr>
        <w:pStyle w:val="reference"/>
        <w:numPr>
          <w:ilvl w:val="0"/>
          <w:numId w:val="10"/>
        </w:numPr>
        <w:ind w:left="270" w:hanging="270"/>
      </w:pPr>
      <w:r w:rsidRPr="002A7A03">
        <w:lastRenderedPageBreak/>
        <w:t>A. M. Khedr, I. Arif, P. R. P V, M. El-Bannany, S. M. Alhashmi, and M. Sreedharan, “Cryptocurrency price prediction using traditional statistical and machine-learning techniques: A survey,” Intell. Syst. Account. Finance Manag., vol. 28, no. 1, pp. 3–34, 2021, doi: 10.1002/isaf.1488.</w:t>
      </w:r>
    </w:p>
    <w:p w14:paraId="67DC8F76" w14:textId="4A9C5669" w:rsidR="005D4B4A" w:rsidRPr="002A7A03" w:rsidRDefault="005D4B4A" w:rsidP="002A7A03">
      <w:pPr>
        <w:pStyle w:val="reference"/>
        <w:numPr>
          <w:ilvl w:val="0"/>
          <w:numId w:val="10"/>
        </w:numPr>
        <w:ind w:left="270" w:hanging="270"/>
      </w:pPr>
      <w:r w:rsidRPr="002A7A03">
        <w:t>S. McNally, “Predicting the price of Bitcoin using Machine Learning”.</w:t>
      </w:r>
    </w:p>
    <w:p w14:paraId="13789C01" w14:textId="37CD9652" w:rsidR="005D4B4A" w:rsidRPr="002A7A03" w:rsidRDefault="005D4B4A" w:rsidP="002A7A03">
      <w:pPr>
        <w:pStyle w:val="reference"/>
        <w:numPr>
          <w:ilvl w:val="0"/>
          <w:numId w:val="10"/>
        </w:numPr>
        <w:ind w:left="270" w:hanging="270"/>
      </w:pPr>
      <w:r w:rsidRPr="002A7A03">
        <w:t>M. Mudassir, S. Bennbaia, D. Unal, and M. Hammoudeh, “Time-series forecasting of Bitcoin prices using high-dimensional features: a machine learning approach,” Neural Comput. Appl., vol. 37, no. 28, pp. 22979–22993, Oct. 2025, doi: 10.1007/s00521-020-05129-6.</w:t>
      </w:r>
    </w:p>
    <w:p w14:paraId="150588B0" w14:textId="25B3CC55" w:rsidR="005D4B4A" w:rsidRPr="002A7A03" w:rsidRDefault="005D4B4A" w:rsidP="002A7A03">
      <w:pPr>
        <w:pStyle w:val="reference"/>
        <w:numPr>
          <w:ilvl w:val="0"/>
          <w:numId w:val="10"/>
        </w:numPr>
        <w:ind w:left="270" w:hanging="270"/>
      </w:pPr>
      <w:r w:rsidRPr="002A7A03">
        <w:t>P. Lamothe-Fernández, D. Alaminos, P. Lamothe-López, and M. A. Fernández-Gámez, “Deep Learning Methods for Modeling Bitcoin Price,” Mathematics, 2020, doi: 10.3390/math8081245.</w:t>
      </w:r>
    </w:p>
    <w:p w14:paraId="105995DE" w14:textId="3870C01B" w:rsidR="005D4B4A" w:rsidRPr="002A7A03" w:rsidRDefault="005D4B4A" w:rsidP="002A7A03">
      <w:pPr>
        <w:pStyle w:val="reference"/>
        <w:numPr>
          <w:ilvl w:val="0"/>
          <w:numId w:val="10"/>
        </w:numPr>
        <w:ind w:left="270" w:hanging="270"/>
      </w:pPr>
      <w:r w:rsidRPr="002A7A03">
        <w:t>M. Liu, G. Li, J. Li, X. Zhu, and Y. Yao, “Forecasting the price of Bitcoin using deep learning,” Finance Res. Lett., vol. 40, p. 101755, May 2021, doi: 10.1016/j.frl.2020.101755.</w:t>
      </w:r>
    </w:p>
    <w:p w14:paraId="57D71587" w14:textId="5B1D3CCB" w:rsidR="005D4B4A" w:rsidRPr="002A7A03" w:rsidRDefault="005D4B4A" w:rsidP="002A7A03">
      <w:pPr>
        <w:pStyle w:val="reference"/>
        <w:numPr>
          <w:ilvl w:val="0"/>
          <w:numId w:val="10"/>
        </w:numPr>
        <w:ind w:left="270" w:hanging="270"/>
      </w:pPr>
      <w:r w:rsidRPr="002A7A03">
        <w:t>A. Dutta, S. Kumar, and M. Basu, “A Gated Recurrent Unit Approach to Bitcoin Price Prediction,” J. Risk Financ. Manag., vol. 13, no. 2, Feb. 2020, doi: 10.3390/jrfm13020023.</w:t>
      </w:r>
    </w:p>
    <w:p w14:paraId="7161B880" w14:textId="7C8C3106" w:rsidR="005D4B4A" w:rsidRPr="002A7A03" w:rsidRDefault="005D4B4A" w:rsidP="002A7A03">
      <w:pPr>
        <w:pStyle w:val="reference"/>
        <w:numPr>
          <w:ilvl w:val="0"/>
          <w:numId w:val="10"/>
        </w:numPr>
        <w:ind w:left="270" w:hanging="270"/>
      </w:pPr>
      <w:r w:rsidRPr="002A7A03">
        <w:t>S. Hansun, A. Wicaksana, and A. Q. M. Khaliq, “Multivariate cryptocurrency prediction: comparative analysis of three recurrent neural networks approaches,” J. Big Data, vol. 9, no. 1, p. 50, Apr. 2022, doi: 10.1186/s40537-022-00601-7.</w:t>
      </w:r>
    </w:p>
    <w:p w14:paraId="4CF00C3F" w14:textId="7FABA38F" w:rsidR="005D4B4A" w:rsidRPr="002A7A03" w:rsidRDefault="005D4B4A" w:rsidP="002A7A03">
      <w:pPr>
        <w:pStyle w:val="reference"/>
        <w:numPr>
          <w:ilvl w:val="0"/>
          <w:numId w:val="10"/>
        </w:numPr>
        <w:ind w:left="270" w:hanging="270"/>
      </w:pPr>
      <w:r w:rsidRPr="002A7A03">
        <w:t>A. Bouteska, M. Z. Abedin, P. Hajek, and K. Yuan, “Cryptocurrency price forecasting – A comparative analysis of ensemble learning and deep learning methods,” Int. Rev. Financ. Anal., vol. 92, p. 103055, Mar. 2024, doi: 10.1016/j.irfa.2023.103055.</w:t>
      </w:r>
    </w:p>
    <w:p w14:paraId="3012AF92" w14:textId="2971D42D" w:rsidR="005D4B4A" w:rsidRPr="002A7A03" w:rsidRDefault="005D4B4A" w:rsidP="002A7A03">
      <w:pPr>
        <w:pStyle w:val="reference"/>
        <w:numPr>
          <w:ilvl w:val="0"/>
          <w:numId w:val="10"/>
        </w:numPr>
        <w:ind w:left="270" w:hanging="270"/>
      </w:pPr>
      <w:r w:rsidRPr="002A7A03">
        <w:t>A. A. Oyedele, A. O. Ajayi, L. O. Oyedele, S. A. Bello, and K. O. Jimoh, “Performance evaluation of deep learning and boosted trees for cryptocurrency closing price prediction,” Expert Syst. Appl., vol. 213, p. 119233, Mar. 2023, doi: 10.1016/j.eswa.2022.119233.</w:t>
      </w:r>
    </w:p>
    <w:p w14:paraId="57E62FFB" w14:textId="69BECAE8" w:rsidR="005D4B4A" w:rsidRPr="002A7A03" w:rsidRDefault="005D4B4A" w:rsidP="002A7A03">
      <w:pPr>
        <w:pStyle w:val="reference"/>
        <w:numPr>
          <w:ilvl w:val="0"/>
          <w:numId w:val="10"/>
        </w:numPr>
        <w:ind w:left="270" w:hanging="270"/>
      </w:pPr>
      <w:r w:rsidRPr="002A7A03">
        <w:t>N. E. Huang et al., “The empirical mode decomposition and the Hilbert spectrum for nonlinear and non-stationary time series analysis,” Proc. R. Soc. Math. Phys. Eng. Sci., vol. 454, no. 1971, pp. 903–995, Mar. 1998, doi: 10.1098/rspa.1998.0193.</w:t>
      </w:r>
    </w:p>
    <w:p w14:paraId="34CB9603" w14:textId="7E6CA070" w:rsidR="005D4B4A" w:rsidRPr="002A7A03" w:rsidRDefault="005D4B4A" w:rsidP="002A7A03">
      <w:pPr>
        <w:pStyle w:val="reference"/>
        <w:numPr>
          <w:ilvl w:val="0"/>
          <w:numId w:val="10"/>
        </w:numPr>
        <w:ind w:left="270" w:hanging="270"/>
      </w:pPr>
      <w:r w:rsidRPr="002A7A03">
        <w:t>“ENSEMBLE EMPIRICAL MODE DECOMPOSITION: A NOISE-ASSISTED DATA ANALYSIS METHOD,” Adv. Adapt. Data Anal., Accessed: Mar. 19, 2026. [Online]. Available: https://www.worldscientific.com/doi/epdf/10.1142/S1793536909000047</w:t>
      </w:r>
    </w:p>
    <w:p w14:paraId="0146C52A" w14:textId="0BDDF6B1" w:rsidR="005D4B4A" w:rsidRPr="002A7A03" w:rsidRDefault="005D4B4A" w:rsidP="002A7A03">
      <w:pPr>
        <w:pStyle w:val="reference"/>
        <w:numPr>
          <w:ilvl w:val="0"/>
          <w:numId w:val="10"/>
        </w:numPr>
        <w:ind w:left="270" w:hanging="270"/>
      </w:pPr>
      <w:r w:rsidRPr="002A7A03">
        <w:t>N. Parvini, M. Abdollahi, S. Seifollahi, and D. Ahmadian, “Forecasting Bitcoin returns with long short-term memory networks and wavelet decomposition: A comparison of several market determinants,” Appl. Soft Comput., vol. 121, p. 108707, May 2022, doi: 10.1016/j.asoc.2022.108707.</w:t>
      </w:r>
    </w:p>
    <w:p w14:paraId="13068818" w14:textId="7BDC9A6C" w:rsidR="005D4B4A" w:rsidRPr="002A7A03" w:rsidRDefault="005D4B4A" w:rsidP="002A7A03">
      <w:pPr>
        <w:pStyle w:val="reference"/>
        <w:numPr>
          <w:ilvl w:val="0"/>
          <w:numId w:val="10"/>
        </w:numPr>
        <w:ind w:left="270" w:hanging="270"/>
      </w:pPr>
      <w:r w:rsidRPr="002A7A03">
        <w:t>T.-J. Chang, T.-S. Lee, C.-T. Yang, and C.-J. Lu, “A ternary-frequency cryptocurrency price prediction scheme by ensemble of clustering and reconstructing intrinsic mode functions based on CEEMDAN,” Expert Syst. Appl., vol. 233, p. 121008, Dec. 2023, doi: 10.1016/j.eswa.2023.121008.</w:t>
      </w:r>
    </w:p>
    <w:p w14:paraId="7C9FBE28" w14:textId="3134FFE5" w:rsidR="005D4B4A" w:rsidRPr="002A7A03" w:rsidRDefault="005D4B4A" w:rsidP="002A7A03">
      <w:pPr>
        <w:pStyle w:val="reference"/>
        <w:numPr>
          <w:ilvl w:val="0"/>
          <w:numId w:val="10"/>
        </w:numPr>
        <w:ind w:left="270" w:hanging="270"/>
      </w:pPr>
      <w:r w:rsidRPr="002A7A03">
        <w:t>V. Mizdrakovic et al., “Forecasting bitcoin: Decomposition aided long short-term memory based time series modeling and its explanation with Shapley values,” Knowl.-Based Syst., vol. 299, p. 112026, Sep. 2024, doi: 10.1016/j.knosys.2024.112026.</w:t>
      </w:r>
    </w:p>
    <w:p w14:paraId="174F0E24" w14:textId="59CE9E59" w:rsidR="005D4B4A" w:rsidRPr="002A7A03" w:rsidRDefault="005D4B4A" w:rsidP="002A7A03">
      <w:pPr>
        <w:pStyle w:val="reference"/>
        <w:numPr>
          <w:ilvl w:val="0"/>
          <w:numId w:val="10"/>
        </w:numPr>
        <w:ind w:left="270" w:hanging="270"/>
      </w:pPr>
      <w:r w:rsidRPr="002A7A03">
        <w:t>E. Koo and G. Kim, “Centralized decomposition approach in LSTM for Bitcoin price prediction,” Expert Syst. Appl., vol. 237, p. 121401, Mar. 2024, doi: 10.1016/j.eswa.2023.121401.</w:t>
      </w:r>
    </w:p>
    <w:p w14:paraId="4EDE31DA" w14:textId="1A534BDB" w:rsidR="005D4B4A" w:rsidRPr="002A7A03" w:rsidRDefault="005D4B4A" w:rsidP="002A7A03">
      <w:pPr>
        <w:pStyle w:val="reference"/>
        <w:numPr>
          <w:ilvl w:val="0"/>
          <w:numId w:val="10"/>
        </w:numPr>
        <w:ind w:left="270" w:hanging="270"/>
      </w:pPr>
      <w:r w:rsidRPr="002A7A03">
        <w:t>H. Sebastião and P. Godinho, “Forecasting and trading cryptocurrencies with machine learning under changing market conditions,” Financ. Innov., vol. 7, no. 1, p. 3, Jan. 2021, doi: 10.1186/s40854-020-00217-x.</w:t>
      </w:r>
    </w:p>
    <w:p w14:paraId="3D2B4991" w14:textId="2FA5DC62" w:rsidR="005D4B4A" w:rsidRPr="002A7A03" w:rsidRDefault="005D4B4A" w:rsidP="002A7A03">
      <w:pPr>
        <w:pStyle w:val="reference"/>
        <w:numPr>
          <w:ilvl w:val="0"/>
          <w:numId w:val="10"/>
        </w:numPr>
        <w:ind w:left="270" w:hanging="270"/>
      </w:pPr>
      <w:r w:rsidRPr="002A7A03">
        <w:t>Z. Chen, C. Li, and W. Sun, “Bitcoin price prediction using machine learning: An approach to sample dimension engineering,” J. Comput. Appl. Math., vol. 365, p. 112395, Feb. 2020, doi: 10.1016/j.cam.2019.112395.</w:t>
      </w:r>
    </w:p>
    <w:p w14:paraId="5CA1D5FF" w14:textId="40B2238E" w:rsidR="005D4B4A" w:rsidRPr="00FA0BD0" w:rsidRDefault="005D4B4A" w:rsidP="002A7A03">
      <w:pPr>
        <w:pStyle w:val="reference"/>
        <w:ind w:left="0" w:firstLine="0"/>
      </w:pPr>
      <w:r w:rsidRPr="002A7A03">
        <w:fldChar w:fldCharType="end"/>
      </w:r>
    </w:p>
    <w:sectPr w:rsidR="005D4B4A" w:rsidRPr="00FA0BD0" w:rsidSect="0070520C">
      <w:type w:val="continuous"/>
      <w:pgSz w:w="11907" w:h="16840" w:code="9"/>
      <w:pgMar w:top="2948" w:right="2495" w:bottom="2948" w:left="2495" w:header="2381" w:footer="1389"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AFE748" w14:textId="77777777" w:rsidR="00E360CF" w:rsidRDefault="00E360CF">
      <w:r>
        <w:separator/>
      </w:r>
    </w:p>
  </w:endnote>
  <w:endnote w:type="continuationSeparator" w:id="0">
    <w:p w14:paraId="60B63ADF" w14:textId="77777777" w:rsidR="00E360CF" w:rsidRDefault="00E360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ms Rmn">
    <w:panose1 w:val="02020603040505020304"/>
    <w:charset w:val="00"/>
    <w:family w:val="roman"/>
    <w:pitch w:val="variable"/>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w:panose1 w:val="02070409020205020404"/>
    <w:charset w:val="00"/>
    <w:family w:val="modern"/>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Aptos">
    <w:charset w:val="00"/>
    <w:family w:val="swiss"/>
    <w:pitch w:val="variable"/>
    <w:sig w:usb0="20000287" w:usb1="00000003" w:usb2="00000000" w:usb3="00000000" w:csb0="0000019F" w:csb1="00000000"/>
  </w:font>
  <w:font w:name="游ゴシック Light">
    <w:panose1 w:val="020B0300000000000000"/>
    <w:charset w:val="80"/>
    <w:family w:val="modern"/>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F6D2CE" w14:textId="77777777" w:rsidR="00E360CF" w:rsidRDefault="00E360CF">
      <w:r>
        <w:separator/>
      </w:r>
    </w:p>
  </w:footnote>
  <w:footnote w:type="continuationSeparator" w:id="0">
    <w:p w14:paraId="0669AA4C" w14:textId="77777777" w:rsidR="00E360CF" w:rsidRDefault="00E360C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CD04B49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FB"/>
    <w:multiLevelType w:val="multilevel"/>
    <w:tmpl w:val="0FE4D956"/>
    <w:lvl w:ilvl="0">
      <w:numFmt w:val="none"/>
      <w:lvlText w:val=""/>
      <w:lvlJc w:val="left"/>
    </w:lvl>
    <w:lvl w:ilvl="1">
      <w:numFmt w:val="none"/>
      <w:lvlText w:val=""/>
      <w:lvlJc w:val="left"/>
    </w:lvl>
    <w:lvl w:ilvl="2">
      <w:numFmt w:val="none"/>
      <w:lvlText w:val=""/>
      <w:lvlJc w:val="left"/>
    </w:lvl>
    <w:lvl w:ilvl="3">
      <w:numFmt w:val="decimal"/>
      <w:pStyle w:val="Heading4"/>
      <w:lvlText w:val="%4"/>
      <w:legacy w:legacy="1" w:legacySpace="0" w:legacyIndent="0"/>
      <w:lvlJc w:val="left"/>
      <w:rPr>
        <w:rFonts w:ascii="Tms Rmn" w:hAnsi="Tms Rmn" w:hint="default"/>
      </w:rPr>
    </w:lvl>
    <w:lvl w:ilvl="4">
      <w:numFmt w:val="decimal"/>
      <w:pStyle w:val="Heading5"/>
      <w:lvlText w:val="%5"/>
      <w:legacy w:legacy="1" w:legacySpace="0" w:legacyIndent="0"/>
      <w:lvlJc w:val="left"/>
      <w:rPr>
        <w:rFonts w:ascii="Tms Rmn" w:hAnsi="Tms Rmn" w:hint="default"/>
      </w:rPr>
    </w:lvl>
    <w:lvl w:ilvl="5">
      <w:numFmt w:val="decimal"/>
      <w:pStyle w:val="Heading6"/>
      <w:lvlText w:val="%6"/>
      <w:legacy w:legacy="1" w:legacySpace="0" w:legacyIndent="0"/>
      <w:lvlJc w:val="left"/>
      <w:rPr>
        <w:rFonts w:ascii="Tms Rmn" w:hAnsi="Tms Rmn" w:hint="default"/>
      </w:rPr>
    </w:lvl>
    <w:lvl w:ilvl="6">
      <w:numFmt w:val="decimal"/>
      <w:pStyle w:val="Heading7"/>
      <w:lvlText w:val="%7"/>
      <w:legacy w:legacy="1" w:legacySpace="0" w:legacyIndent="0"/>
      <w:lvlJc w:val="left"/>
      <w:rPr>
        <w:rFonts w:ascii="Tms Rmn" w:hAnsi="Tms Rmn" w:hint="default"/>
      </w:rPr>
    </w:lvl>
    <w:lvl w:ilvl="7">
      <w:numFmt w:val="decimal"/>
      <w:pStyle w:val="Heading8"/>
      <w:lvlText w:val="%8"/>
      <w:legacy w:legacy="1" w:legacySpace="0" w:legacyIndent="0"/>
      <w:lvlJc w:val="left"/>
      <w:rPr>
        <w:rFonts w:ascii="Tms Rmn" w:hAnsi="Tms Rmn" w:hint="default"/>
      </w:rPr>
    </w:lvl>
    <w:lvl w:ilvl="8">
      <w:numFmt w:val="decimal"/>
      <w:pStyle w:val="Heading9"/>
      <w:lvlText w:val="%9"/>
      <w:legacy w:legacy="1" w:legacySpace="0" w:legacyIndent="0"/>
      <w:lvlJc w:val="left"/>
      <w:rPr>
        <w:rFonts w:ascii="Tms Rmn" w:hAnsi="Tms Rmn" w:hint="default"/>
      </w:rPr>
    </w:lvl>
  </w:abstractNum>
  <w:abstractNum w:abstractNumId="2" w15:restartNumberingAfterBreak="0">
    <w:nsid w:val="0D0065AD"/>
    <w:multiLevelType w:val="hybridMultilevel"/>
    <w:tmpl w:val="B9C2EB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3BF5470"/>
    <w:multiLevelType w:val="singleLevel"/>
    <w:tmpl w:val="6F4E66F0"/>
    <w:lvl w:ilvl="0">
      <w:start w:val="1"/>
      <w:numFmt w:val="decimal"/>
      <w:lvlText w:val="%1."/>
      <w:legacy w:legacy="1" w:legacySpace="0" w:legacyIndent="227"/>
      <w:lvlJc w:val="left"/>
      <w:pPr>
        <w:ind w:left="227" w:hanging="227"/>
      </w:pPr>
    </w:lvl>
  </w:abstractNum>
  <w:abstractNum w:abstractNumId="4" w15:restartNumberingAfterBreak="0">
    <w:nsid w:val="368B36D6"/>
    <w:multiLevelType w:val="hybridMultilevel"/>
    <w:tmpl w:val="6F4E66F0"/>
    <w:lvl w:ilvl="0" w:tplc="0407000F">
      <w:start w:val="1"/>
      <w:numFmt w:val="decimal"/>
      <w:lvlText w:val="%1."/>
      <w:lvlJc w:val="left"/>
      <w:pPr>
        <w:tabs>
          <w:tab w:val="num" w:pos="720"/>
        </w:tabs>
        <w:ind w:left="720"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5" w15:restartNumberingAfterBreak="0">
    <w:nsid w:val="38357647"/>
    <w:multiLevelType w:val="hybridMultilevel"/>
    <w:tmpl w:val="85BACE10"/>
    <w:lvl w:ilvl="0" w:tplc="04090005">
      <w:start w:val="1"/>
      <w:numFmt w:val="bullet"/>
      <w:lvlText w:val=""/>
      <w:lvlJc w:val="left"/>
      <w:pPr>
        <w:ind w:left="947" w:hanging="360"/>
      </w:pPr>
      <w:rPr>
        <w:rFonts w:ascii="Wingdings" w:hAnsi="Wingdings" w:hint="default"/>
      </w:rPr>
    </w:lvl>
    <w:lvl w:ilvl="1" w:tplc="04090003" w:tentative="1">
      <w:start w:val="1"/>
      <w:numFmt w:val="bullet"/>
      <w:lvlText w:val="o"/>
      <w:lvlJc w:val="left"/>
      <w:pPr>
        <w:ind w:left="1667" w:hanging="360"/>
      </w:pPr>
      <w:rPr>
        <w:rFonts w:ascii="Courier New" w:hAnsi="Courier New" w:cs="Courier New" w:hint="default"/>
      </w:rPr>
    </w:lvl>
    <w:lvl w:ilvl="2" w:tplc="04090005" w:tentative="1">
      <w:start w:val="1"/>
      <w:numFmt w:val="bullet"/>
      <w:lvlText w:val=""/>
      <w:lvlJc w:val="left"/>
      <w:pPr>
        <w:ind w:left="2387" w:hanging="360"/>
      </w:pPr>
      <w:rPr>
        <w:rFonts w:ascii="Wingdings" w:hAnsi="Wingdings" w:hint="default"/>
      </w:rPr>
    </w:lvl>
    <w:lvl w:ilvl="3" w:tplc="04090001" w:tentative="1">
      <w:start w:val="1"/>
      <w:numFmt w:val="bullet"/>
      <w:lvlText w:val=""/>
      <w:lvlJc w:val="left"/>
      <w:pPr>
        <w:ind w:left="3107" w:hanging="360"/>
      </w:pPr>
      <w:rPr>
        <w:rFonts w:ascii="Symbol" w:hAnsi="Symbol" w:hint="default"/>
      </w:rPr>
    </w:lvl>
    <w:lvl w:ilvl="4" w:tplc="04090003" w:tentative="1">
      <w:start w:val="1"/>
      <w:numFmt w:val="bullet"/>
      <w:lvlText w:val="o"/>
      <w:lvlJc w:val="left"/>
      <w:pPr>
        <w:ind w:left="3827" w:hanging="360"/>
      </w:pPr>
      <w:rPr>
        <w:rFonts w:ascii="Courier New" w:hAnsi="Courier New" w:cs="Courier New" w:hint="default"/>
      </w:rPr>
    </w:lvl>
    <w:lvl w:ilvl="5" w:tplc="04090005" w:tentative="1">
      <w:start w:val="1"/>
      <w:numFmt w:val="bullet"/>
      <w:lvlText w:val=""/>
      <w:lvlJc w:val="left"/>
      <w:pPr>
        <w:ind w:left="4547" w:hanging="360"/>
      </w:pPr>
      <w:rPr>
        <w:rFonts w:ascii="Wingdings" w:hAnsi="Wingdings" w:hint="default"/>
      </w:rPr>
    </w:lvl>
    <w:lvl w:ilvl="6" w:tplc="04090001" w:tentative="1">
      <w:start w:val="1"/>
      <w:numFmt w:val="bullet"/>
      <w:lvlText w:val=""/>
      <w:lvlJc w:val="left"/>
      <w:pPr>
        <w:ind w:left="5267" w:hanging="360"/>
      </w:pPr>
      <w:rPr>
        <w:rFonts w:ascii="Symbol" w:hAnsi="Symbol" w:hint="default"/>
      </w:rPr>
    </w:lvl>
    <w:lvl w:ilvl="7" w:tplc="04090003" w:tentative="1">
      <w:start w:val="1"/>
      <w:numFmt w:val="bullet"/>
      <w:lvlText w:val="o"/>
      <w:lvlJc w:val="left"/>
      <w:pPr>
        <w:ind w:left="5987" w:hanging="360"/>
      </w:pPr>
      <w:rPr>
        <w:rFonts w:ascii="Courier New" w:hAnsi="Courier New" w:cs="Courier New" w:hint="default"/>
      </w:rPr>
    </w:lvl>
    <w:lvl w:ilvl="8" w:tplc="04090005" w:tentative="1">
      <w:start w:val="1"/>
      <w:numFmt w:val="bullet"/>
      <w:lvlText w:val=""/>
      <w:lvlJc w:val="left"/>
      <w:pPr>
        <w:ind w:left="6707" w:hanging="360"/>
      </w:pPr>
      <w:rPr>
        <w:rFonts w:ascii="Wingdings" w:hAnsi="Wingdings" w:hint="default"/>
      </w:rPr>
    </w:lvl>
  </w:abstractNum>
  <w:abstractNum w:abstractNumId="6" w15:restartNumberingAfterBreak="0">
    <w:nsid w:val="433D3F9E"/>
    <w:multiLevelType w:val="hybridMultilevel"/>
    <w:tmpl w:val="F702B2E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551783F"/>
    <w:multiLevelType w:val="hybridMultilevel"/>
    <w:tmpl w:val="A0BE1D04"/>
    <w:lvl w:ilvl="0" w:tplc="0409000F">
      <w:start w:val="1"/>
      <w:numFmt w:val="decimal"/>
      <w:lvlText w:val="%1."/>
      <w:lvlJc w:val="left"/>
      <w:pPr>
        <w:ind w:left="360" w:hanging="360"/>
      </w:pPr>
    </w:lvl>
    <w:lvl w:ilvl="1" w:tplc="64F230A8">
      <w:start w:val="1"/>
      <w:numFmt w:val="upperLetter"/>
      <w:lvlText w:val="%2."/>
      <w:lvlJc w:val="left"/>
      <w:pPr>
        <w:ind w:left="1080" w:hanging="360"/>
      </w:pPr>
      <w:rPr>
        <w:rFonts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5D084121"/>
    <w:multiLevelType w:val="hybridMultilevel"/>
    <w:tmpl w:val="42784332"/>
    <w:lvl w:ilvl="0" w:tplc="F774A9DE">
      <w:start w:val="1"/>
      <w:numFmt w:val="decimal"/>
      <w:lvlText w:val="%1."/>
      <w:lvlJc w:val="left"/>
      <w:pPr>
        <w:ind w:left="720" w:hanging="360"/>
      </w:pPr>
      <w:rPr>
        <w:rFonts w:ascii="Cambria Math" w:hAnsi="Cambria Math" w:cs="Cambria Math"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BB13103"/>
    <w:multiLevelType w:val="hybridMultilevel"/>
    <w:tmpl w:val="C346E63E"/>
    <w:lvl w:ilvl="0" w:tplc="FFFFFFFF">
      <w:start w:val="1"/>
      <w:numFmt w:val="bullet"/>
      <w:lvlText w:val=""/>
      <w:lvlJc w:val="left"/>
      <w:pPr>
        <w:ind w:left="947" w:hanging="360"/>
      </w:pPr>
      <w:rPr>
        <w:rFonts w:ascii="Symbol" w:hAnsi="Symbol" w:hint="default"/>
      </w:rPr>
    </w:lvl>
    <w:lvl w:ilvl="1" w:tplc="04090001">
      <w:start w:val="1"/>
      <w:numFmt w:val="bullet"/>
      <w:lvlText w:val=""/>
      <w:lvlJc w:val="left"/>
      <w:pPr>
        <w:ind w:left="1667" w:hanging="360"/>
      </w:pPr>
      <w:rPr>
        <w:rFonts w:ascii="Symbol" w:hAnsi="Symbol" w:hint="default"/>
      </w:rPr>
    </w:lvl>
    <w:lvl w:ilvl="2" w:tplc="FFFFFFFF" w:tentative="1">
      <w:start w:val="1"/>
      <w:numFmt w:val="bullet"/>
      <w:lvlText w:val=""/>
      <w:lvlJc w:val="left"/>
      <w:pPr>
        <w:ind w:left="2387" w:hanging="360"/>
      </w:pPr>
      <w:rPr>
        <w:rFonts w:ascii="Wingdings" w:hAnsi="Wingdings" w:hint="default"/>
      </w:rPr>
    </w:lvl>
    <w:lvl w:ilvl="3" w:tplc="FFFFFFFF" w:tentative="1">
      <w:start w:val="1"/>
      <w:numFmt w:val="bullet"/>
      <w:lvlText w:val=""/>
      <w:lvlJc w:val="left"/>
      <w:pPr>
        <w:ind w:left="3107" w:hanging="360"/>
      </w:pPr>
      <w:rPr>
        <w:rFonts w:ascii="Symbol" w:hAnsi="Symbol" w:hint="default"/>
      </w:rPr>
    </w:lvl>
    <w:lvl w:ilvl="4" w:tplc="FFFFFFFF" w:tentative="1">
      <w:start w:val="1"/>
      <w:numFmt w:val="bullet"/>
      <w:lvlText w:val="o"/>
      <w:lvlJc w:val="left"/>
      <w:pPr>
        <w:ind w:left="3827" w:hanging="360"/>
      </w:pPr>
      <w:rPr>
        <w:rFonts w:ascii="Courier New" w:hAnsi="Courier New" w:cs="Courier New" w:hint="default"/>
      </w:rPr>
    </w:lvl>
    <w:lvl w:ilvl="5" w:tplc="FFFFFFFF" w:tentative="1">
      <w:start w:val="1"/>
      <w:numFmt w:val="bullet"/>
      <w:lvlText w:val=""/>
      <w:lvlJc w:val="left"/>
      <w:pPr>
        <w:ind w:left="4547" w:hanging="360"/>
      </w:pPr>
      <w:rPr>
        <w:rFonts w:ascii="Wingdings" w:hAnsi="Wingdings" w:hint="default"/>
      </w:rPr>
    </w:lvl>
    <w:lvl w:ilvl="6" w:tplc="FFFFFFFF" w:tentative="1">
      <w:start w:val="1"/>
      <w:numFmt w:val="bullet"/>
      <w:lvlText w:val=""/>
      <w:lvlJc w:val="left"/>
      <w:pPr>
        <w:ind w:left="5267" w:hanging="360"/>
      </w:pPr>
      <w:rPr>
        <w:rFonts w:ascii="Symbol" w:hAnsi="Symbol" w:hint="default"/>
      </w:rPr>
    </w:lvl>
    <w:lvl w:ilvl="7" w:tplc="FFFFFFFF" w:tentative="1">
      <w:start w:val="1"/>
      <w:numFmt w:val="bullet"/>
      <w:lvlText w:val="o"/>
      <w:lvlJc w:val="left"/>
      <w:pPr>
        <w:ind w:left="5987" w:hanging="360"/>
      </w:pPr>
      <w:rPr>
        <w:rFonts w:ascii="Courier New" w:hAnsi="Courier New" w:cs="Courier New" w:hint="default"/>
      </w:rPr>
    </w:lvl>
    <w:lvl w:ilvl="8" w:tplc="FFFFFFFF" w:tentative="1">
      <w:start w:val="1"/>
      <w:numFmt w:val="bullet"/>
      <w:lvlText w:val=""/>
      <w:lvlJc w:val="left"/>
      <w:pPr>
        <w:ind w:left="6707" w:hanging="360"/>
      </w:pPr>
      <w:rPr>
        <w:rFonts w:ascii="Wingdings" w:hAnsi="Wingdings" w:hint="default"/>
      </w:rPr>
    </w:lvl>
  </w:abstractNum>
  <w:abstractNum w:abstractNumId="10" w15:restartNumberingAfterBreak="0">
    <w:nsid w:val="6DD979ED"/>
    <w:multiLevelType w:val="hybridMultilevel"/>
    <w:tmpl w:val="A1ACE9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52279370">
    <w:abstractNumId w:val="1"/>
  </w:num>
  <w:num w:numId="2" w16cid:durableId="1161851768">
    <w:abstractNumId w:val="4"/>
  </w:num>
  <w:num w:numId="3" w16cid:durableId="189881481">
    <w:abstractNumId w:val="3"/>
  </w:num>
  <w:num w:numId="4" w16cid:durableId="894656272">
    <w:abstractNumId w:val="0"/>
  </w:num>
  <w:num w:numId="5" w16cid:durableId="871459219">
    <w:abstractNumId w:val="2"/>
  </w:num>
  <w:num w:numId="6" w16cid:durableId="48191446">
    <w:abstractNumId w:val="10"/>
  </w:num>
  <w:num w:numId="7" w16cid:durableId="56711423">
    <w:abstractNumId w:val="9"/>
  </w:num>
  <w:num w:numId="8" w16cid:durableId="1820923756">
    <w:abstractNumId w:val="8"/>
  </w:num>
  <w:num w:numId="9" w16cid:durableId="761995610">
    <w:abstractNumId w:val="5"/>
  </w:num>
  <w:num w:numId="10" w16cid:durableId="960451253">
    <w:abstractNumId w:val="7"/>
  </w:num>
  <w:num w:numId="11" w16cid:durableId="95783136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mirrorMargin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evenAndOddHeaders/>
  <w:drawingGridHorizontalSpacing w:val="120"/>
  <w:drawingGridVerticalSpacing w:val="120"/>
  <w:displayVerticalDrawingGridEvery w:val="0"/>
  <w:doNotUseMarginsForDrawingGridOrigin/>
  <w:characterSpacingControl w:val="doNotCompres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xtDQyMjMzsTA2MzYwMjVR0lEKTi0uzszPAykwqgUAnHfPUCwAAAA="/>
  </w:docVars>
  <w:rsids>
    <w:rsidRoot w:val="009942DC"/>
    <w:rsid w:val="000003B1"/>
    <w:rsid w:val="00040D46"/>
    <w:rsid w:val="00050DFE"/>
    <w:rsid w:val="00053BA6"/>
    <w:rsid w:val="00094440"/>
    <w:rsid w:val="000C6B24"/>
    <w:rsid w:val="000E0818"/>
    <w:rsid w:val="000E4EF4"/>
    <w:rsid w:val="00165C6D"/>
    <w:rsid w:val="001D3036"/>
    <w:rsid w:val="001E2B8E"/>
    <w:rsid w:val="001E2D85"/>
    <w:rsid w:val="001F5353"/>
    <w:rsid w:val="00203798"/>
    <w:rsid w:val="00230CD0"/>
    <w:rsid w:val="00252BAB"/>
    <w:rsid w:val="0026321D"/>
    <w:rsid w:val="002A3EE9"/>
    <w:rsid w:val="002A7A03"/>
    <w:rsid w:val="00311E5A"/>
    <w:rsid w:val="00312EC3"/>
    <w:rsid w:val="0033684D"/>
    <w:rsid w:val="003C5FA0"/>
    <w:rsid w:val="003D3C40"/>
    <w:rsid w:val="003D5C7E"/>
    <w:rsid w:val="004072A8"/>
    <w:rsid w:val="00422C0D"/>
    <w:rsid w:val="00477D8D"/>
    <w:rsid w:val="004C31AA"/>
    <w:rsid w:val="004C3515"/>
    <w:rsid w:val="005154B2"/>
    <w:rsid w:val="00565692"/>
    <w:rsid w:val="00586CFF"/>
    <w:rsid w:val="005B1E72"/>
    <w:rsid w:val="005D4B4A"/>
    <w:rsid w:val="005E410C"/>
    <w:rsid w:val="005F632A"/>
    <w:rsid w:val="006055E0"/>
    <w:rsid w:val="006225EA"/>
    <w:rsid w:val="00641686"/>
    <w:rsid w:val="00652234"/>
    <w:rsid w:val="00657488"/>
    <w:rsid w:val="0067477F"/>
    <w:rsid w:val="006962C6"/>
    <w:rsid w:val="006A1BD8"/>
    <w:rsid w:val="006B13EC"/>
    <w:rsid w:val="006D6F72"/>
    <w:rsid w:val="0070520C"/>
    <w:rsid w:val="007131A7"/>
    <w:rsid w:val="00726D29"/>
    <w:rsid w:val="007309D0"/>
    <w:rsid w:val="00744F88"/>
    <w:rsid w:val="0077552A"/>
    <w:rsid w:val="007C151A"/>
    <w:rsid w:val="00840153"/>
    <w:rsid w:val="008A0799"/>
    <w:rsid w:val="0090198B"/>
    <w:rsid w:val="00907370"/>
    <w:rsid w:val="00914605"/>
    <w:rsid w:val="00935BB0"/>
    <w:rsid w:val="0095068A"/>
    <w:rsid w:val="00951991"/>
    <w:rsid w:val="00975607"/>
    <w:rsid w:val="00984E56"/>
    <w:rsid w:val="009942DC"/>
    <w:rsid w:val="009B1D59"/>
    <w:rsid w:val="009B21E4"/>
    <w:rsid w:val="009F4136"/>
    <w:rsid w:val="00A02F42"/>
    <w:rsid w:val="00A06878"/>
    <w:rsid w:val="00A27A2C"/>
    <w:rsid w:val="00A4066B"/>
    <w:rsid w:val="00A61B46"/>
    <w:rsid w:val="00A70379"/>
    <w:rsid w:val="00A8258F"/>
    <w:rsid w:val="00A82AC2"/>
    <w:rsid w:val="00B069EE"/>
    <w:rsid w:val="00B23D0F"/>
    <w:rsid w:val="00B27F44"/>
    <w:rsid w:val="00B60E5C"/>
    <w:rsid w:val="00B659EF"/>
    <w:rsid w:val="00B65EEC"/>
    <w:rsid w:val="00B953BA"/>
    <w:rsid w:val="00BA4722"/>
    <w:rsid w:val="00BD33FD"/>
    <w:rsid w:val="00BF03D4"/>
    <w:rsid w:val="00BF7172"/>
    <w:rsid w:val="00C16F71"/>
    <w:rsid w:val="00C21DCE"/>
    <w:rsid w:val="00C27BCB"/>
    <w:rsid w:val="00C951AE"/>
    <w:rsid w:val="00C95EFA"/>
    <w:rsid w:val="00CB2306"/>
    <w:rsid w:val="00CB7FCD"/>
    <w:rsid w:val="00CF0521"/>
    <w:rsid w:val="00CF3BCD"/>
    <w:rsid w:val="00D15D54"/>
    <w:rsid w:val="00D25733"/>
    <w:rsid w:val="00D46E59"/>
    <w:rsid w:val="00D71084"/>
    <w:rsid w:val="00D8313E"/>
    <w:rsid w:val="00DC2926"/>
    <w:rsid w:val="00DD1859"/>
    <w:rsid w:val="00DD625B"/>
    <w:rsid w:val="00E3194C"/>
    <w:rsid w:val="00E3380D"/>
    <w:rsid w:val="00E360CF"/>
    <w:rsid w:val="00E846D3"/>
    <w:rsid w:val="00EA1D86"/>
    <w:rsid w:val="00EA3C57"/>
    <w:rsid w:val="00EA63AE"/>
    <w:rsid w:val="00EB5B7D"/>
    <w:rsid w:val="00ED7BA2"/>
    <w:rsid w:val="00F00716"/>
    <w:rsid w:val="00F1441A"/>
    <w:rsid w:val="00F35037"/>
    <w:rsid w:val="00F36F61"/>
    <w:rsid w:val="00F54FCB"/>
    <w:rsid w:val="00F9003F"/>
    <w:rsid w:val="00F92E11"/>
    <w:rsid w:val="00F95A8B"/>
    <w:rsid w:val="00FA0BD0"/>
    <w:rsid w:val="00FC4AD7"/>
    <w:rsid w:val="00FF690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0BA652B"/>
  <w15:chartTrackingRefBased/>
  <w15:docId w15:val="{C834BF45-B3EC-40F8-B487-37B77F7440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uiPriority="35"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055E0"/>
    <w:pPr>
      <w:ind w:firstLine="227"/>
      <w:jc w:val="both"/>
    </w:pPr>
    <w:rPr>
      <w:rFonts w:ascii="Times" w:hAnsi="Times"/>
      <w:lang w:eastAsia="de-DE"/>
    </w:rPr>
  </w:style>
  <w:style w:type="paragraph" w:styleId="Heading1">
    <w:name w:val="heading 1"/>
    <w:basedOn w:val="Normal"/>
    <w:next w:val="Normal"/>
    <w:qFormat/>
    <w:rsid w:val="00477D8D"/>
    <w:pPr>
      <w:keepNext/>
      <w:keepLines/>
      <w:pageBreakBefore/>
      <w:tabs>
        <w:tab w:val="left" w:pos="284"/>
      </w:tabs>
      <w:suppressAutoHyphens/>
      <w:spacing w:after="1600" w:line="320" w:lineRule="exact"/>
      <w:ind w:firstLine="0"/>
      <w:outlineLvl w:val="0"/>
    </w:pPr>
    <w:rPr>
      <w:b/>
      <w:sz w:val="28"/>
    </w:rPr>
  </w:style>
  <w:style w:type="paragraph" w:styleId="Heading2">
    <w:name w:val="heading 2"/>
    <w:basedOn w:val="Normal"/>
    <w:next w:val="Normal"/>
    <w:qFormat/>
    <w:rsid w:val="00477D8D"/>
    <w:pPr>
      <w:keepNext/>
      <w:keepLines/>
      <w:tabs>
        <w:tab w:val="left" w:pos="454"/>
      </w:tabs>
      <w:suppressAutoHyphens/>
      <w:spacing w:before="520" w:after="280" w:line="280" w:lineRule="exact"/>
      <w:ind w:firstLine="0"/>
      <w:outlineLvl w:val="1"/>
    </w:pPr>
    <w:rPr>
      <w:b/>
    </w:rPr>
  </w:style>
  <w:style w:type="paragraph" w:styleId="Heading3">
    <w:name w:val="heading 3"/>
    <w:basedOn w:val="Normal"/>
    <w:next w:val="Normal"/>
    <w:qFormat/>
    <w:rsid w:val="00477D8D"/>
    <w:pPr>
      <w:keepNext/>
      <w:keepLines/>
      <w:tabs>
        <w:tab w:val="left" w:pos="510"/>
      </w:tabs>
      <w:suppressAutoHyphens/>
      <w:spacing w:before="440" w:after="220" w:line="240" w:lineRule="exact"/>
      <w:ind w:firstLine="0"/>
      <w:outlineLvl w:val="2"/>
    </w:pPr>
    <w:rPr>
      <w:b/>
    </w:rPr>
  </w:style>
  <w:style w:type="paragraph" w:styleId="Heading4">
    <w:name w:val="heading 4"/>
    <w:basedOn w:val="Normal"/>
    <w:next w:val="Normal"/>
    <w:qFormat/>
    <w:rsid w:val="00477D8D"/>
    <w:pPr>
      <w:keepNext/>
      <w:numPr>
        <w:ilvl w:val="3"/>
        <w:numId w:val="1"/>
      </w:numPr>
      <w:spacing w:before="240" w:after="60"/>
      <w:ind w:firstLine="0"/>
      <w:outlineLvl w:val="3"/>
    </w:pPr>
    <w:rPr>
      <w:rFonts w:ascii="Arial" w:hAnsi="Arial"/>
      <w:b/>
      <w:sz w:val="24"/>
    </w:rPr>
  </w:style>
  <w:style w:type="paragraph" w:styleId="Heading5">
    <w:name w:val="heading 5"/>
    <w:basedOn w:val="Normal"/>
    <w:next w:val="Normal"/>
    <w:qFormat/>
    <w:rsid w:val="00477D8D"/>
    <w:pPr>
      <w:numPr>
        <w:ilvl w:val="4"/>
        <w:numId w:val="1"/>
      </w:numPr>
      <w:spacing w:before="240" w:after="60"/>
      <w:ind w:firstLine="0"/>
      <w:outlineLvl w:val="4"/>
    </w:pPr>
    <w:rPr>
      <w:rFonts w:ascii="Arial" w:hAnsi="Arial"/>
      <w:sz w:val="22"/>
    </w:rPr>
  </w:style>
  <w:style w:type="paragraph" w:styleId="Heading6">
    <w:name w:val="heading 6"/>
    <w:basedOn w:val="Normal"/>
    <w:next w:val="Normal"/>
    <w:qFormat/>
    <w:rsid w:val="00477D8D"/>
    <w:pPr>
      <w:numPr>
        <w:ilvl w:val="5"/>
        <w:numId w:val="1"/>
      </w:numPr>
      <w:spacing w:before="240" w:after="60"/>
      <w:ind w:firstLine="0"/>
      <w:outlineLvl w:val="5"/>
    </w:pPr>
    <w:rPr>
      <w:rFonts w:ascii="Times New Roman" w:hAnsi="Times New Roman"/>
      <w:i/>
      <w:sz w:val="22"/>
    </w:rPr>
  </w:style>
  <w:style w:type="paragraph" w:styleId="Heading7">
    <w:name w:val="heading 7"/>
    <w:basedOn w:val="Normal"/>
    <w:next w:val="Normal"/>
    <w:qFormat/>
    <w:rsid w:val="00477D8D"/>
    <w:pPr>
      <w:numPr>
        <w:ilvl w:val="6"/>
        <w:numId w:val="1"/>
      </w:numPr>
      <w:spacing w:before="240" w:after="60"/>
      <w:ind w:firstLine="0"/>
      <w:outlineLvl w:val="6"/>
    </w:pPr>
    <w:rPr>
      <w:rFonts w:ascii="Arial" w:hAnsi="Arial"/>
    </w:rPr>
  </w:style>
  <w:style w:type="paragraph" w:styleId="Heading8">
    <w:name w:val="heading 8"/>
    <w:basedOn w:val="Normal"/>
    <w:next w:val="Normal"/>
    <w:qFormat/>
    <w:rsid w:val="00477D8D"/>
    <w:pPr>
      <w:numPr>
        <w:ilvl w:val="7"/>
        <w:numId w:val="1"/>
      </w:numPr>
      <w:spacing w:before="240" w:after="60"/>
      <w:ind w:firstLine="0"/>
      <w:outlineLvl w:val="7"/>
    </w:pPr>
    <w:rPr>
      <w:rFonts w:ascii="Arial" w:hAnsi="Arial"/>
      <w:i/>
    </w:rPr>
  </w:style>
  <w:style w:type="paragraph" w:styleId="Heading9">
    <w:name w:val="heading 9"/>
    <w:basedOn w:val="Normal"/>
    <w:next w:val="Normal"/>
    <w:qFormat/>
    <w:rsid w:val="00477D8D"/>
    <w:pPr>
      <w:numPr>
        <w:ilvl w:val="8"/>
        <w:numId w:val="1"/>
      </w:numPr>
      <w:spacing w:before="240" w:after="60"/>
      <w:ind w:firstLine="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477D8D"/>
    <w:pPr>
      <w:tabs>
        <w:tab w:val="center" w:pos="4536"/>
        <w:tab w:val="right" w:pos="9072"/>
      </w:tabs>
    </w:pPr>
  </w:style>
  <w:style w:type="paragraph" w:styleId="Footer">
    <w:name w:val="footer"/>
    <w:basedOn w:val="Normal"/>
    <w:rsid w:val="00477D8D"/>
    <w:pPr>
      <w:tabs>
        <w:tab w:val="center" w:pos="4536"/>
        <w:tab w:val="right" w:pos="9072"/>
      </w:tabs>
    </w:pPr>
  </w:style>
  <w:style w:type="character" w:styleId="PageNumber">
    <w:name w:val="page number"/>
    <w:basedOn w:val="DefaultParagraphFont"/>
    <w:rsid w:val="00477D8D"/>
  </w:style>
  <w:style w:type="paragraph" w:customStyle="1" w:styleId="Title1">
    <w:name w:val="Title1"/>
    <w:basedOn w:val="Normal"/>
    <w:next w:val="author"/>
    <w:rsid w:val="00477D8D"/>
    <w:pPr>
      <w:keepNext/>
      <w:keepLines/>
      <w:pageBreakBefore/>
      <w:tabs>
        <w:tab w:val="left" w:pos="284"/>
      </w:tabs>
      <w:suppressAutoHyphens/>
      <w:spacing w:after="460" w:line="348" w:lineRule="exact"/>
      <w:jc w:val="center"/>
    </w:pPr>
    <w:rPr>
      <w:b/>
      <w:sz w:val="28"/>
    </w:rPr>
  </w:style>
  <w:style w:type="paragraph" w:customStyle="1" w:styleId="author">
    <w:name w:val="author"/>
    <w:basedOn w:val="Normal"/>
    <w:next w:val="authorinfo"/>
    <w:rsid w:val="00477D8D"/>
    <w:pPr>
      <w:spacing w:after="220"/>
      <w:jc w:val="center"/>
    </w:pPr>
  </w:style>
  <w:style w:type="paragraph" w:customStyle="1" w:styleId="authorinfo">
    <w:name w:val="authorinfo"/>
    <w:basedOn w:val="Normal"/>
    <w:next w:val="email"/>
    <w:rsid w:val="00477D8D"/>
    <w:pPr>
      <w:jc w:val="center"/>
    </w:pPr>
    <w:rPr>
      <w:sz w:val="18"/>
    </w:rPr>
  </w:style>
  <w:style w:type="paragraph" w:customStyle="1" w:styleId="email">
    <w:name w:val="email"/>
    <w:basedOn w:val="Normal"/>
    <w:next w:val="abstract"/>
    <w:rsid w:val="00477D8D"/>
    <w:pPr>
      <w:jc w:val="center"/>
    </w:pPr>
    <w:rPr>
      <w:sz w:val="18"/>
    </w:rPr>
  </w:style>
  <w:style w:type="paragraph" w:customStyle="1" w:styleId="heading10">
    <w:name w:val="heading1"/>
    <w:basedOn w:val="Normal"/>
    <w:next w:val="p1a"/>
    <w:rsid w:val="00477D8D"/>
    <w:pPr>
      <w:keepNext/>
      <w:keepLines/>
      <w:tabs>
        <w:tab w:val="left" w:pos="454"/>
      </w:tabs>
      <w:suppressAutoHyphens/>
      <w:spacing w:before="520" w:after="280"/>
      <w:ind w:firstLine="0"/>
    </w:pPr>
    <w:rPr>
      <w:b/>
      <w:sz w:val="24"/>
    </w:rPr>
  </w:style>
  <w:style w:type="paragraph" w:customStyle="1" w:styleId="heading20">
    <w:name w:val="heading2"/>
    <w:basedOn w:val="Normal"/>
    <w:next w:val="p1a"/>
    <w:rsid w:val="00477D8D"/>
    <w:pPr>
      <w:keepNext/>
      <w:keepLines/>
      <w:tabs>
        <w:tab w:val="left" w:pos="510"/>
      </w:tabs>
      <w:suppressAutoHyphens/>
      <w:spacing w:before="440" w:after="220"/>
      <w:ind w:firstLine="0"/>
    </w:pPr>
    <w:rPr>
      <w:b/>
    </w:rPr>
  </w:style>
  <w:style w:type="paragraph" w:customStyle="1" w:styleId="heading30">
    <w:name w:val="heading3"/>
    <w:basedOn w:val="Normal"/>
    <w:next w:val="p1a"/>
    <w:link w:val="heading3Zchn"/>
    <w:rsid w:val="00477D8D"/>
    <w:pPr>
      <w:keepNext/>
      <w:keepLines/>
      <w:tabs>
        <w:tab w:val="left" w:pos="284"/>
      </w:tabs>
      <w:suppressAutoHyphens/>
      <w:spacing w:before="320"/>
      <w:ind w:firstLine="0"/>
    </w:pPr>
    <w:rPr>
      <w:b/>
    </w:rPr>
  </w:style>
  <w:style w:type="paragraph" w:customStyle="1" w:styleId="equation">
    <w:name w:val="equation"/>
    <w:basedOn w:val="Normal"/>
    <w:next w:val="Normal"/>
    <w:rsid w:val="00477D8D"/>
    <w:pPr>
      <w:tabs>
        <w:tab w:val="left" w:pos="6237"/>
      </w:tabs>
      <w:spacing w:before="120" w:after="120"/>
      <w:ind w:left="227"/>
      <w:jc w:val="center"/>
    </w:pPr>
  </w:style>
  <w:style w:type="paragraph" w:customStyle="1" w:styleId="figlegend">
    <w:name w:val="figlegend"/>
    <w:basedOn w:val="Normal"/>
    <w:next w:val="Normal"/>
    <w:rsid w:val="00477D8D"/>
    <w:pPr>
      <w:keepNext/>
      <w:keepLines/>
      <w:spacing w:before="120" w:after="240"/>
      <w:ind w:firstLine="0"/>
    </w:pPr>
    <w:rPr>
      <w:sz w:val="18"/>
    </w:rPr>
  </w:style>
  <w:style w:type="paragraph" w:customStyle="1" w:styleId="tablelegend">
    <w:name w:val="tablelegend"/>
    <w:basedOn w:val="Normal"/>
    <w:next w:val="Normal"/>
    <w:rsid w:val="00477D8D"/>
    <w:pPr>
      <w:keepNext/>
      <w:keepLines/>
      <w:spacing w:before="240" w:after="120"/>
      <w:ind w:firstLine="0"/>
    </w:pPr>
    <w:rPr>
      <w:sz w:val="18"/>
      <w:lang w:val="de-DE"/>
    </w:rPr>
  </w:style>
  <w:style w:type="paragraph" w:customStyle="1" w:styleId="abstract">
    <w:name w:val="abstract"/>
    <w:basedOn w:val="p1a"/>
    <w:next w:val="heading10"/>
    <w:rsid w:val="00477D8D"/>
    <w:pPr>
      <w:spacing w:before="600" w:after="120"/>
      <w:ind w:left="567" w:right="567"/>
    </w:pPr>
    <w:rPr>
      <w:sz w:val="18"/>
    </w:rPr>
  </w:style>
  <w:style w:type="paragraph" w:customStyle="1" w:styleId="p1a">
    <w:name w:val="p1a"/>
    <w:basedOn w:val="Normal"/>
    <w:next w:val="Normal"/>
    <w:link w:val="p1aZchn"/>
    <w:rsid w:val="00477D8D"/>
    <w:pPr>
      <w:ind w:firstLine="0"/>
    </w:pPr>
  </w:style>
  <w:style w:type="paragraph" w:customStyle="1" w:styleId="reference">
    <w:name w:val="reference"/>
    <w:basedOn w:val="Normal"/>
    <w:rsid w:val="00477D8D"/>
    <w:pPr>
      <w:ind w:left="227" w:hanging="227"/>
    </w:pPr>
    <w:rPr>
      <w:sz w:val="18"/>
    </w:rPr>
  </w:style>
  <w:style w:type="character" w:styleId="FootnoteReference">
    <w:name w:val="footnote reference"/>
    <w:semiHidden/>
    <w:rsid w:val="00477D8D"/>
    <w:rPr>
      <w:position w:val="6"/>
      <w:sz w:val="12"/>
      <w:vertAlign w:val="baseline"/>
    </w:rPr>
  </w:style>
  <w:style w:type="paragraph" w:customStyle="1" w:styleId="Runninghead-left">
    <w:name w:val="Running head - left"/>
    <w:basedOn w:val="Normal"/>
    <w:rsid w:val="00477D8D"/>
    <w:pPr>
      <w:tabs>
        <w:tab w:val="left" w:pos="680"/>
        <w:tab w:val="right" w:pos="6237"/>
        <w:tab w:val="right" w:pos="6917"/>
      </w:tabs>
      <w:spacing w:after="240" w:line="240" w:lineRule="exact"/>
      <w:ind w:firstLine="0"/>
      <w:jc w:val="left"/>
    </w:pPr>
    <w:rPr>
      <w:sz w:val="18"/>
    </w:rPr>
  </w:style>
  <w:style w:type="paragraph" w:customStyle="1" w:styleId="Runninghead-right">
    <w:name w:val="Running head - right"/>
    <w:basedOn w:val="Runninghead-left"/>
    <w:rsid w:val="00477D8D"/>
    <w:pPr>
      <w:jc w:val="right"/>
    </w:pPr>
  </w:style>
  <w:style w:type="paragraph" w:customStyle="1" w:styleId="BulletItem">
    <w:name w:val="Bullet Item"/>
    <w:basedOn w:val="Item"/>
    <w:rsid w:val="00477D8D"/>
  </w:style>
  <w:style w:type="paragraph" w:customStyle="1" w:styleId="Item">
    <w:name w:val="Item"/>
    <w:basedOn w:val="Normal"/>
    <w:next w:val="Normal"/>
    <w:rsid w:val="00477D8D"/>
    <w:pPr>
      <w:tabs>
        <w:tab w:val="left" w:pos="227"/>
        <w:tab w:val="left" w:pos="454"/>
      </w:tabs>
      <w:ind w:left="227" w:hanging="227"/>
    </w:pPr>
  </w:style>
  <w:style w:type="paragraph" w:customStyle="1" w:styleId="NumberedItem">
    <w:name w:val="Numbered Item"/>
    <w:basedOn w:val="Item"/>
    <w:rsid w:val="00477D8D"/>
  </w:style>
  <w:style w:type="paragraph" w:styleId="FootnoteText">
    <w:name w:val="footnote text"/>
    <w:basedOn w:val="Normal"/>
    <w:semiHidden/>
    <w:rsid w:val="00477D8D"/>
    <w:pPr>
      <w:tabs>
        <w:tab w:val="left" w:pos="170"/>
      </w:tabs>
      <w:ind w:left="170" w:hanging="170"/>
    </w:pPr>
    <w:rPr>
      <w:sz w:val="18"/>
    </w:rPr>
  </w:style>
  <w:style w:type="paragraph" w:customStyle="1" w:styleId="programcode">
    <w:name w:val="programcode"/>
    <w:basedOn w:val="Normal"/>
    <w:rsid w:val="00477D8D"/>
    <w:pPr>
      <w:tabs>
        <w:tab w:val="left" w:pos="1361"/>
        <w:tab w:val="left" w:pos="1531"/>
        <w:tab w:val="left" w:pos="1701"/>
        <w:tab w:val="left" w:pos="1871"/>
        <w:tab w:val="left" w:pos="2041"/>
        <w:tab w:val="left" w:pos="2211"/>
        <w:tab w:val="left" w:pos="2381"/>
        <w:tab w:val="left" w:pos="2552"/>
      </w:tabs>
      <w:spacing w:before="120" w:after="120"/>
      <w:ind w:left="227" w:firstLine="0"/>
      <w:jc w:val="left"/>
    </w:pPr>
    <w:rPr>
      <w:rFonts w:ascii="Courier" w:hAnsi="Courier"/>
    </w:rPr>
  </w:style>
  <w:style w:type="paragraph" w:customStyle="1" w:styleId="FunotentextFootnote">
    <w:name w:val="Fußnotentext.Footnote"/>
    <w:basedOn w:val="Normal"/>
    <w:rsid w:val="00477D8D"/>
    <w:pPr>
      <w:tabs>
        <w:tab w:val="left" w:pos="170"/>
      </w:tabs>
      <w:ind w:left="170" w:hanging="170"/>
    </w:pPr>
    <w:rPr>
      <w:sz w:val="18"/>
    </w:rPr>
  </w:style>
  <w:style w:type="paragraph" w:styleId="Caption">
    <w:name w:val="caption"/>
    <w:basedOn w:val="Normal"/>
    <w:next w:val="Normal"/>
    <w:uiPriority w:val="35"/>
    <w:qFormat/>
    <w:rsid w:val="00477D8D"/>
    <w:pPr>
      <w:spacing w:before="120" w:after="120"/>
    </w:pPr>
    <w:rPr>
      <w:b/>
    </w:rPr>
  </w:style>
  <w:style w:type="paragraph" w:customStyle="1" w:styleId="heading40">
    <w:name w:val="heading4"/>
    <w:basedOn w:val="Normal"/>
    <w:next w:val="p1a"/>
    <w:rsid w:val="00477D8D"/>
    <w:pPr>
      <w:spacing w:before="320"/>
      <w:ind w:firstLine="0"/>
    </w:pPr>
    <w:rPr>
      <w:i/>
    </w:rPr>
  </w:style>
  <w:style w:type="paragraph" w:customStyle="1" w:styleId="address">
    <w:name w:val="address"/>
    <w:basedOn w:val="Normal"/>
    <w:next w:val="email"/>
    <w:rsid w:val="009B1D59"/>
    <w:pPr>
      <w:jc w:val="center"/>
    </w:pPr>
    <w:rPr>
      <w:sz w:val="18"/>
    </w:rPr>
  </w:style>
  <w:style w:type="paragraph" w:customStyle="1" w:styleId="figurelegend">
    <w:name w:val="figure legend"/>
    <w:basedOn w:val="Normal"/>
    <w:next w:val="Normal"/>
    <w:rsid w:val="009B1D59"/>
    <w:pPr>
      <w:keepNext/>
      <w:keepLines/>
      <w:spacing w:before="120" w:after="240"/>
      <w:ind w:firstLine="0"/>
    </w:pPr>
    <w:rPr>
      <w:sz w:val="18"/>
    </w:rPr>
  </w:style>
  <w:style w:type="paragraph" w:customStyle="1" w:styleId="tabletitle">
    <w:name w:val="table title"/>
    <w:basedOn w:val="Normal"/>
    <w:next w:val="Normal"/>
    <w:rsid w:val="009B1D59"/>
    <w:pPr>
      <w:keepNext/>
      <w:keepLines/>
      <w:spacing w:before="240" w:after="120"/>
      <w:ind w:firstLine="0"/>
    </w:pPr>
    <w:rPr>
      <w:sz w:val="18"/>
      <w:lang w:val="de-DE"/>
    </w:rPr>
  </w:style>
  <w:style w:type="paragraph" w:customStyle="1" w:styleId="referenceitem">
    <w:name w:val="referenceitem"/>
    <w:basedOn w:val="Normal"/>
    <w:rsid w:val="009B1D59"/>
    <w:pPr>
      <w:ind w:left="227" w:hanging="227"/>
    </w:pPr>
    <w:rPr>
      <w:sz w:val="18"/>
    </w:rPr>
  </w:style>
  <w:style w:type="character" w:styleId="Hyperlink">
    <w:name w:val="Hyperlink"/>
    <w:rsid w:val="009B1D59"/>
    <w:rPr>
      <w:color w:val="0000FF"/>
      <w:u w:val="single"/>
    </w:rPr>
  </w:style>
  <w:style w:type="paragraph" w:customStyle="1" w:styleId="BodyText21">
    <w:name w:val="Body Text 21"/>
    <w:basedOn w:val="Normal"/>
    <w:rsid w:val="009B1D59"/>
  </w:style>
  <w:style w:type="character" w:customStyle="1" w:styleId="heading3Zchn">
    <w:name w:val="heading3 Zchn"/>
    <w:link w:val="heading30"/>
    <w:rsid w:val="009F4136"/>
    <w:rPr>
      <w:rFonts w:ascii="Times" w:hAnsi="Times"/>
      <w:b/>
      <w:lang w:val="en-US" w:eastAsia="de-DE" w:bidi="ar-SA"/>
    </w:rPr>
  </w:style>
  <w:style w:type="character" w:customStyle="1" w:styleId="p1aZchn">
    <w:name w:val="p1a Zchn"/>
    <w:link w:val="p1a"/>
    <w:rsid w:val="009F4136"/>
    <w:rPr>
      <w:rFonts w:ascii="Times" w:hAnsi="Times"/>
      <w:lang w:val="en-US" w:eastAsia="de-DE" w:bidi="ar-SA"/>
    </w:rPr>
  </w:style>
  <w:style w:type="character" w:styleId="CommentReference">
    <w:name w:val="annotation reference"/>
    <w:semiHidden/>
    <w:rsid w:val="00C16F71"/>
    <w:rPr>
      <w:sz w:val="16"/>
      <w:szCs w:val="16"/>
    </w:rPr>
  </w:style>
  <w:style w:type="paragraph" w:styleId="CommentText">
    <w:name w:val="annotation text"/>
    <w:basedOn w:val="Normal"/>
    <w:semiHidden/>
    <w:rsid w:val="00C16F71"/>
  </w:style>
  <w:style w:type="paragraph" w:styleId="CommentSubject">
    <w:name w:val="annotation subject"/>
    <w:basedOn w:val="CommentText"/>
    <w:next w:val="CommentText"/>
    <w:semiHidden/>
    <w:rsid w:val="00C16F71"/>
    <w:rPr>
      <w:b/>
      <w:bCs/>
    </w:rPr>
  </w:style>
  <w:style w:type="paragraph" w:styleId="BalloonText">
    <w:name w:val="Balloon Text"/>
    <w:basedOn w:val="Normal"/>
    <w:semiHidden/>
    <w:rsid w:val="00C16F71"/>
    <w:rPr>
      <w:rFonts w:ascii="Tahoma" w:hAnsi="Tahoma" w:cs="Tahoma"/>
      <w:sz w:val="16"/>
      <w:szCs w:val="16"/>
    </w:rPr>
  </w:style>
  <w:style w:type="character" w:styleId="FollowedHyperlink">
    <w:name w:val="FollowedHyperlink"/>
    <w:rsid w:val="00F36F61"/>
    <w:rPr>
      <w:color w:val="800080"/>
      <w:u w:val="single"/>
    </w:rPr>
  </w:style>
  <w:style w:type="character" w:styleId="UnresolvedMention">
    <w:name w:val="Unresolved Mention"/>
    <w:uiPriority w:val="99"/>
    <w:semiHidden/>
    <w:unhideWhenUsed/>
    <w:rsid w:val="00B659EF"/>
    <w:rPr>
      <w:color w:val="605E5C"/>
      <w:shd w:val="clear" w:color="auto" w:fill="E1DFDD"/>
    </w:rPr>
  </w:style>
  <w:style w:type="table" w:styleId="TableGrid">
    <w:name w:val="Table Grid"/>
    <w:basedOn w:val="TableNormal"/>
    <w:uiPriority w:val="59"/>
    <w:rsid w:val="00A4066B"/>
    <w:rPr>
      <w:rFonts w:ascii="Calibri" w:eastAsia="Calibri" w:hAnsi="Calibri" w:cs="Calibri"/>
      <w:sz w:val="22"/>
      <w:szCs w:val="22"/>
      <w:lang w:val="e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table_list,VNA - List Paragraph,1.,Bullet List,FooterText,numbered,Paragraphe de liste,Use Case List Paragraph,Body Bullet,Ref,Bulleted Text,List bullet,List Paragraph 1,List Bullet1,Figure_name,List Paragraph Char Char,List lv1,thu,lp1"/>
    <w:basedOn w:val="Normal"/>
    <w:link w:val="ListParagraphChar"/>
    <w:uiPriority w:val="34"/>
    <w:qFormat/>
    <w:rsid w:val="00A4066B"/>
    <w:pPr>
      <w:spacing w:after="160" w:line="259" w:lineRule="auto"/>
      <w:ind w:left="720" w:firstLine="0"/>
      <w:contextualSpacing/>
      <w:jc w:val="left"/>
    </w:pPr>
    <w:rPr>
      <w:rFonts w:ascii="Calibri" w:eastAsia="Calibri" w:hAnsi="Calibri" w:cs="Calibri"/>
      <w:sz w:val="22"/>
      <w:szCs w:val="22"/>
      <w:lang w:val="en" w:eastAsia="en-US"/>
    </w:rPr>
  </w:style>
  <w:style w:type="character" w:customStyle="1" w:styleId="ListParagraphChar">
    <w:name w:val="List Paragraph Char"/>
    <w:aliases w:val="table_list Char,VNA - List Paragraph Char,1. Char,Bullet List Char,FooterText Char,numbered Char,Paragraphe de liste Char,Use Case List Paragraph Char,Body Bullet Char,Ref Char,Bulleted Text Char,List bullet Char,List Bullet1 Char"/>
    <w:link w:val="ListParagraph"/>
    <w:uiPriority w:val="34"/>
    <w:qFormat/>
    <w:locked/>
    <w:rsid w:val="00A4066B"/>
    <w:rPr>
      <w:rFonts w:ascii="Calibri" w:eastAsia="Calibri" w:hAnsi="Calibri" w:cs="Calibri"/>
      <w:sz w:val="22"/>
      <w:szCs w:val="22"/>
      <w:lang w:val="en"/>
    </w:rPr>
  </w:style>
  <w:style w:type="paragraph" w:customStyle="1" w:styleId="Nidungtrongbng">
    <w:name w:val="@Nội dung trong bảng"/>
    <w:basedOn w:val="Normal"/>
    <w:qFormat/>
    <w:rsid w:val="00A4066B"/>
    <w:pPr>
      <w:spacing w:before="60" w:after="60" w:line="276" w:lineRule="auto"/>
      <w:ind w:firstLine="0"/>
    </w:pPr>
    <w:rPr>
      <w:rFonts w:ascii="Palatino Linotype" w:eastAsia="Calibri" w:hAnsi="Palatino Linotype"/>
      <w:sz w:val="22"/>
      <w:szCs w:val="22"/>
      <w:lang w:eastAsia="en-US"/>
    </w:rPr>
  </w:style>
  <w:style w:type="table" w:styleId="GridTable1Light">
    <w:name w:val="Grid Table 1 Light"/>
    <w:basedOn w:val="TableNormal"/>
    <w:uiPriority w:val="46"/>
    <w:rsid w:val="00A4066B"/>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paragraph" w:styleId="Bibliography">
    <w:name w:val="Bibliography"/>
    <w:basedOn w:val="Normal"/>
    <w:next w:val="Normal"/>
    <w:uiPriority w:val="37"/>
    <w:unhideWhenUsed/>
    <w:rsid w:val="005D4B4A"/>
    <w:pPr>
      <w:spacing w:after="160" w:line="259" w:lineRule="auto"/>
      <w:ind w:firstLine="0"/>
      <w:jc w:val="left"/>
    </w:pPr>
    <w:rPr>
      <w:rFonts w:ascii="Calibri" w:eastAsia="Calibri" w:hAnsi="Calibri" w:cs="Calibri"/>
      <w:sz w:val="22"/>
      <w:szCs w:val="22"/>
      <w:lang w:val="en"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6.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E:\Dokumente%20und%20Einstellungen\Kramer.SPRINGER-SBM\Desktop\in%20here\AuthorsInstructions\Wordnew\trial.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trial</Template>
  <TotalTime>13</TotalTime>
  <Pages>12</Pages>
  <Words>13894</Words>
  <Characters>79199</Characters>
  <Application>Microsoft Office Word</Application>
  <DocSecurity>0</DocSecurity>
  <Lines>659</Lines>
  <Paragraphs>185</Paragraphs>
  <ScaleCrop>false</ScaleCrop>
  <HeadingPairs>
    <vt:vector size="2" baseType="variant">
      <vt:variant>
        <vt:lpstr>Title</vt:lpstr>
      </vt:variant>
      <vt:variant>
        <vt:i4>1</vt:i4>
      </vt:variant>
    </vt:vector>
  </HeadingPairs>
  <TitlesOfParts>
    <vt:vector size="1" baseType="lpstr">
      <vt:lpstr>sv-lncs</vt:lpstr>
    </vt:vector>
  </TitlesOfParts>
  <Company>Springer Verlag GmbH &amp; Co.KG</Company>
  <LinksUpToDate>false</LinksUpToDate>
  <CharactersWithSpaces>92908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sv-lncs</dc:title>
  <dc:subject/>
  <dc:creator>Springer-SBM</dc:creator>
  <cp:keywords/>
  <dc:description>Copyright Springer-Verlag Heidelberg Berlin 2002</dc:description>
  <cp:lastModifiedBy>Dũng</cp:lastModifiedBy>
  <cp:revision>6</cp:revision>
  <cp:lastPrinted>2006-05-07T23:33:00Z</cp:lastPrinted>
  <dcterms:created xsi:type="dcterms:W3CDTF">2026-03-29T03:37:00Z</dcterms:created>
  <dcterms:modified xsi:type="dcterms:W3CDTF">2026-03-29T03:52:00Z</dcterms:modified>
</cp:coreProperties>
</file>